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200" w:before="2400"/>
        <w:jc w:val="center"/>
      </w:pPr>
      <w:r>
        <w:rPr>
          <w:b/>
          <w:bCs/>
          <w:sz w:val="36"/>
          <w:szCs w:val="36"/>
        </w:rPr>
        <w:t xml:space="preserve">EMBA Week 2</w:t>
      </w:r>
    </w:p>
    <w:p>
      <w:pPr>
        <w:spacing w:after="200"/>
        <w:jc w:val="center"/>
      </w:pPr>
      <w:r>
        <w:rPr>
          <w:b/>
          <w:bCs/>
          <w:color w:val="1F4E79"/>
          <w:sz w:val="48"/>
          <w:szCs w:val="48"/>
        </w:rPr>
        <w:t xml:space="preserve">Module Summaries</w:t>
      </w:r>
    </w:p>
    <w:p>
      <w:pPr>
        <w:spacing w:after="1200"/>
        <w:jc w:val="center"/>
      </w:pPr>
      <w:r>
        <w:rPr>
          <w:i/>
          <w:iCs/>
          <w:sz w:val="22"/>
          <w:szCs w:val="22"/>
        </w:rPr>
        <w:t xml:space="preserve">Quick-Reference Recaps for Asset Management, Intangibles, and M&amp;A</w:t>
      </w:r>
    </w:p>
    <w:p>
      <w:pPr>
        <w:jc w:val="center"/>
      </w:pPr>
      <w:r>
        <w:rPr>
          <w:sz w:val="20"/>
          <w:szCs w:val="20"/>
        </w:rPr>
        <w:t xml:space="preserve">Use these summaries for second-pass review after the comprehensive Study Guide.</w:t>
      </w:r>
    </w:p>
    <w:p>
      <w:pPr>
        <w:pStyle w:val="Heading1"/>
        <w:pageBreakBefore/>
      </w:pPr>
      <w:r>
        <w:t xml:space="preserve">Module 1 — Asset Management (Summary)</w:t>
      </w:r>
    </w:p>
    <w:p>
      <w:pPr>
        <w:spacing w:after="120"/>
      </w:pPr>
      <w:r>
        <w:t xml:space="preserve">4 hours. Prof. Ioanid Rosu. Covers asset allocation, market efficiency, investor performance, and options. Below is a one-shot recap by topic block.</w:t>
      </w:r>
    </w:p>
    <w:p>
      <w:pPr>
        <w:pBdr>
          <w:top w:val="single" w:color="1B5E20" w:sz="12"/>
        </w:pBdr>
        <w:shd w:fill="E2F0D9" w:val="clear"/>
        <w:spacing w:after="80" w:before="100"/>
      </w:pPr>
      <w:r>
        <w:rPr>
          <w:b/>
          <w:bCs/>
          <w:color w:val="1B5E20"/>
          <w:sz w:val="22"/>
          <w:szCs w:val="22"/>
        </w:rPr>
        <w:t xml:space="preserve">In one paragraph (for non-finance readers)</w:t>
      </w:r>
    </w:p>
    <w:p>
      <w:pPr>
        <w:spacing w:after="120"/>
      </w:pPr>
      <w:r>
        <w:t xml:space="preserve">Asset management is the business of building investment portfolios. The central idea is that you should not just bet on a single asset — by mixing assets that don't move in lockstep, you can lower the wobble of your portfolio without giving up much expected return. Modern Portfolio Theory (MPT) is the mathematical recipe for doing this well: it tells you the BEST possible mix of assets given their expected returns, volatilities, and correlations. The Tangency Portfolio (T) is the specific mix that gives the highest return per unit of risk. Every investor should hold T plus the risk-free asset (T-bills); how much of each depends only on personal risk tolerance. The rest of the module asks: do markets price assets correctly (sometimes, mostly), and which investors beat the market in practice (very few, but the ones who do, do so for specific reasons we can name).</w:t>
      </w:r>
    </w:p>
    <w:p>
      <w:pPr>
        <w:spacing w:after="120"/>
      </w:pPr>
      <w:r>
        <w:t xml:space="preserve">Topic 4 (options) is OUTSIDE the exam scope per Prof. Rosu — skip Block D below if optimizing for the exam.</w:t>
      </w:r>
    </w:p>
    <w:p>
      <w:pPr>
        <w:pStyle w:val="Heading2"/>
      </w:pPr>
      <w:r>
        <w:t xml:space="preserve">Block A — Asset Allocation &amp; MPT</w:t>
      </w:r>
    </w:p>
    <w:p>
      <w:pPr>
        <w:spacing w:after="80"/>
      </w:pPr>
      <w:r>
        <w:rPr>
          <w:b/>
          <w:bCs/>
        </w:rPr>
        <w:t xml:space="preserve">Core idea:</w:t>
      </w:r>
    </w:p>
    <w:p>
      <w:pPr>
        <w:pStyle w:val="ListParagraph"/>
        <w:numPr>
          <w:ilvl w:val="0"/>
          <w:numId w:val="2"/>
        </w:numPr>
        <w:spacing w:after="60"/>
      </w:pPr>
      <w:r>
        <w:t xml:space="preserve">Mean-variance investors choose portfolio weights to optimize expected return (E) vs risk (σ).</w:t>
      </w:r>
    </w:p>
    <w:p>
      <w:pPr>
        <w:pStyle w:val="ListParagraph"/>
        <w:numPr>
          <w:ilvl w:val="0"/>
          <w:numId w:val="2"/>
        </w:numPr>
        <w:spacing w:after="60"/>
      </w:pPr>
      <w:r>
        <w:t xml:space="preserve">Diversification works because portfolio risk depends on correlation, not just individual risks.</w:t>
      </w:r>
    </w:p>
    <w:p>
      <w:pPr>
        <w:spacing w:after="80"/>
      </w:pPr>
      <w:r>
        <w:rPr>
          <w:b/>
          <w:bCs/>
        </w:rPr>
        <w:t xml:space="preserve">Key formulas:</w:t>
      </w:r>
    </w:p>
    <w:p>
      <w:pPr>
        <w:pStyle w:val="ListParagraph"/>
        <w:numPr>
          <w:ilvl w:val="0"/>
          <w:numId w:val="2"/>
        </w:numPr>
        <w:spacing w:after="60"/>
      </w:pPr>
      <w:r>
        <w:t xml:space="preserve">Portfolio return:</w:t>
      </w:r>
    </w:p>
    <w:p>
      <w:pPr>
        <w:spacing w:after="140" w:before="140"/>
        <w:jc w:val="center"/>
      </w:pPr>
      <m:oMath>
        <m:sSub>
          <m:sSubPr/>
          <m:e>
            <m:r>
              <m:t>E</m:t>
            </m:r>
          </m:e>
          <m:sub>
            <m:r>
              <m:t>P</m:t>
            </m:r>
          </m:sub>
        </m:sSub>
        <m:r>
          <m:t> = </m:t>
        </m:r>
        <m:sSub>
          <m:sSubPr/>
          <m:e>
            <m:r>
              <m:t>w</m:t>
            </m:r>
          </m:e>
          <m:sub>
            <m:r>
              <m:t>A</m:t>
            </m:r>
          </m:sub>
        </m:sSub>
        <m:r>
          <m:t> </m:t>
        </m:r>
        <m:sSub>
          <m:sSubPr/>
          <m:e>
            <m:r>
              <m:t>E</m:t>
            </m:r>
          </m:e>
          <m:sub>
            <m:r>
              <m:t>A</m:t>
            </m:r>
          </m:sub>
        </m:sSub>
        <m:r>
          <m:t> + </m:t>
        </m:r>
        <m:sSub>
          <m:sSubPr/>
          <m:e>
            <m:r>
              <m:t>w</m:t>
            </m:r>
          </m:e>
          <m:sub>
            <m:r>
              <m:t>B</m:t>
            </m:r>
          </m:sub>
        </m:sSub>
        <m:r>
          <m:t> </m:t>
        </m:r>
        <m:sSub>
          <m:sSubPr/>
          <m:e>
            <m:r>
              <m:t>E</m:t>
            </m:r>
          </m:e>
          <m:sub>
            <m:r>
              <m:t>B</m:t>
            </m:r>
          </m:sub>
        </m:sSub>
      </m:oMath>
    </w:p>
    <w:p>
      <w:pPr>
        <w:pStyle w:val="ListParagraph"/>
        <w:numPr>
          <w:ilvl w:val="0"/>
          <w:numId w:val="2"/>
        </w:numPr>
        <w:spacing w:after="60"/>
      </w:pPr>
      <w:r>
        <w:t xml:space="preserve">Portfolio variance:</w:t>
      </w:r>
    </w:p>
    <w:p>
      <w:pPr>
        <w:spacing w:after="140" w:before="140"/>
        <w:jc w:val="center"/>
      </w:pPr>
      <m:oMath>
        <m:sSubSup>
          <m:sSubSupPr/>
          <m:e>
            <m:r>
              <m:t>σ</m:t>
            </m:r>
          </m:e>
          <m:sub>
            <m:r>
              <m:t>P</m:t>
            </m:r>
          </m:sub>
          <m:sup>
            <m:r>
              <m:t>2</m:t>
            </m:r>
          </m:sup>
        </m:sSubSup>
        <m:r>
          <m:t> = </m:t>
        </m:r>
        <m:sSubSup>
          <m:sSubSupPr/>
          <m:e>
            <m:r>
              <m:t>w</m:t>
            </m:r>
          </m:e>
          <m:sub>
            <m:r>
              <m:t>A</m:t>
            </m:r>
          </m:sub>
          <m:sup>
            <m:r>
              <m:t>2</m:t>
            </m:r>
          </m:sup>
        </m:sSubSup>
        <m:r>
          <m:t> </m:t>
        </m:r>
        <m:sSubSup>
          <m:sSubSupPr/>
          <m:e>
            <m:r>
              <m:t>σ</m:t>
            </m:r>
          </m:e>
          <m:sub>
            <m:r>
              <m:t>A</m:t>
            </m:r>
          </m:sub>
          <m:sup>
            <m:r>
              <m:t>2</m:t>
            </m:r>
          </m:sup>
        </m:sSubSup>
        <m:r>
          <m:t> + </m:t>
        </m:r>
        <m:sSubSup>
          <m:sSubSupPr/>
          <m:e>
            <m:r>
              <m:t>w</m:t>
            </m:r>
          </m:e>
          <m:sub>
            <m:r>
              <m:t>B</m:t>
            </m:r>
          </m:sub>
          <m:sup>
            <m:r>
              <m:t>2</m:t>
            </m:r>
          </m:sup>
        </m:sSubSup>
        <m:r>
          <m:t> </m:t>
        </m:r>
        <m:sSubSup>
          <m:sSubSupPr/>
          <m:e>
            <m:r>
              <m:t>σ</m:t>
            </m:r>
          </m:e>
          <m:sub>
            <m:r>
              <m:t>B</m:t>
            </m:r>
          </m:sub>
          <m:sup>
            <m:r>
              <m:t>2</m:t>
            </m:r>
          </m:sup>
        </m:sSubSup>
        <m:r>
          <m:t> + 2 </m:t>
        </m:r>
        <m:sSub>
          <m:sSubPr/>
          <m:e>
            <m:r>
              <m:t>w</m:t>
            </m:r>
          </m:e>
          <m:sub>
            <m:r>
              <m:t>A</m:t>
            </m:r>
          </m:sub>
        </m:sSub>
        <m:r>
          <m:t> </m:t>
        </m:r>
        <m:sSub>
          <m:sSubPr/>
          <m:e>
            <m:r>
              <m:t>w</m:t>
            </m:r>
          </m:e>
          <m:sub>
            <m:r>
              <m:t>B</m:t>
            </m:r>
          </m:sub>
        </m:sSub>
        <m:r>
          <m:t> </m:t>
        </m:r>
        <m:sSub>
          <m:sSubPr/>
          <m:e>
            <m:r>
              <m:t>σ</m:t>
            </m:r>
          </m:e>
          <m:sub>
            <m:r>
              <m:t>A</m:t>
            </m:r>
          </m:sub>
        </m:sSub>
        <m:r>
          <m:t> </m:t>
        </m:r>
        <m:sSub>
          <m:sSubPr/>
          <m:e>
            <m:r>
              <m:t>σ</m:t>
            </m:r>
          </m:e>
          <m:sub>
            <m:r>
              <m:t>B</m:t>
            </m:r>
          </m:sub>
        </m:sSub>
        <m:r>
          <m:t> </m:t>
        </m:r>
        <m:sSub>
          <m:sSubPr/>
          <m:e>
            <m:r>
              <m:t>ρ</m:t>
            </m:r>
          </m:e>
          <m:sub>
            <m:r>
              <m:t>AB</m:t>
            </m:r>
          </m:sub>
        </m:sSub>
      </m:oMath>
    </w:p>
    <w:p>
      <w:pPr>
        <w:pStyle w:val="ListParagraph"/>
        <w:numPr>
          <w:ilvl w:val="0"/>
          <w:numId w:val="2"/>
        </w:numPr>
        <w:spacing w:after="60"/>
      </w:pPr>
      <w:r>
        <w:t xml:space="preserve">Sharpe ratio of asset X:</w:t>
      </w:r>
    </w:p>
    <w:p>
      <w:pPr>
        <w:spacing w:after="140" w:before="140"/>
        <w:jc w:val="center"/>
      </w:pPr>
      <m:oMath>
        <m:r>
          <m:t>Sharpe</m:t>
        </m:r>
        <m:r>
          <m:t> = </m:t>
        </m:r>
        <m:f>
          <m:num>
            <m:sSub>
              <m:sSubPr/>
              <m:e>
                <m:r>
                  <m:t>E</m:t>
                </m:r>
              </m:e>
              <m:sub>
                <m:r>
                  <m:t>X</m:t>
                </m:r>
              </m:sub>
            </m:sSub>
            <m:r>
              <m:t> - </m:t>
            </m:r>
            <m:sSub>
              <m:sSubPr/>
              <m:e>
                <m:r>
                  <m:t>r</m:t>
                </m:r>
              </m:e>
              <m:sub>
                <m:r>
                  <m:t>f</m:t>
                </m:r>
              </m:sub>
            </m:sSub>
          </m:num>
          <m:den>
            <m:sSub>
              <m:sSubPr/>
              <m:e>
                <m:r>
                  <m:t>σ</m:t>
                </m:r>
              </m:e>
              <m:sub>
                <m:r>
                  <m:t>X</m:t>
                </m:r>
              </m:sub>
            </m:sSub>
          </m:den>
        </m:f>
      </m:oMath>
    </w:p>
    <w:p>
      <w:pPr>
        <w:pStyle w:val="ListParagraph"/>
        <w:numPr>
          <w:ilvl w:val="0"/>
          <w:numId w:val="2"/>
        </w:numPr>
        <w:spacing w:after="60"/>
      </w:pPr>
      <w:r>
        <w:t xml:space="preserve">CAL slope = Sharpe ratio of tangency portfolio T.</w:t>
      </w:r>
    </w:p>
    <w:p>
      <w:pPr>
        <w:pStyle w:val="ListParagraph"/>
        <w:numPr>
          <w:ilvl w:val="0"/>
          <w:numId w:val="2"/>
        </w:numPr>
        <w:spacing w:after="60"/>
      </w:pPr>
      <w:r>
        <w:t xml:space="preserve">Optimal weight in T (where A = risk aversion):</w:t>
      </w:r>
    </w:p>
    <w:p>
      <w:pPr>
        <w:spacing w:after="140" w:before="140"/>
        <w:jc w:val="center"/>
      </w:pPr>
      <m:oMath>
        <m:sSup>
          <m:sSupPr/>
          <m:e>
            <m:r>
              <m:t>w</m:t>
            </m:r>
          </m:e>
          <m:sup>
            <m:r>
              <m:t>*</m:t>
            </m:r>
          </m:sup>
        </m:sSup>
        <m:r>
          <m:t> = </m:t>
        </m:r>
        <m:f>
          <m:num>
            <m:sSub>
              <m:sSubPr/>
              <m:e>
                <m:r>
                  <m:t>E</m:t>
                </m:r>
              </m:e>
              <m:sub>
                <m:r>
                  <m:t>T</m:t>
                </m:r>
              </m:sub>
            </m:sSub>
            <m:r>
              <m:t> - </m:t>
            </m:r>
            <m:sSub>
              <m:sSubPr/>
              <m:e>
                <m:r>
                  <m:t>r</m:t>
                </m:r>
              </m:e>
              <m:sub>
                <m:r>
                  <m:t>f</m:t>
                </m:r>
              </m:sub>
            </m:sSub>
          </m:num>
          <m:den>
            <m:r>
              <m:t>A </m:t>
            </m:r>
            <m:sSubSup>
              <m:sSubSupPr/>
              <m:e>
                <m:r>
                  <m:t>σ</m:t>
                </m:r>
              </m:e>
              <m:sub>
                <m:r>
                  <m:t>T</m:t>
                </m:r>
              </m:sub>
              <m:sup>
                <m:r>
                  <m:t>2</m:t>
                </m:r>
              </m:sup>
            </m:sSubSup>
          </m:den>
        </m:f>
      </m:oMath>
    </w:p>
    <w:p>
      <w:pPr>
        <w:spacing w:after="80"/>
      </w:pPr>
      <w:r>
        <w:rPr>
          <w:b/>
          <w:bCs/>
        </w:rPr>
        <w:t xml:space="preserve">Critical intuitions:</w:t>
      </w:r>
    </w:p>
    <w:p>
      <w:pPr>
        <w:pStyle w:val="ListParagraph"/>
        <w:numPr>
          <w:ilvl w:val="0"/>
          <w:numId w:val="2"/>
        </w:numPr>
        <w:spacing w:after="60"/>
      </w:pPr>
      <w:r>
        <w:t xml:space="preserve">Adding non-redundant assets strictly improves the efficient frontier.</w:t>
      </w:r>
    </w:p>
    <w:p>
      <w:pPr>
        <w:pStyle w:val="ListParagraph"/>
        <w:numPr>
          <w:ilvl w:val="0"/>
          <w:numId w:val="2"/>
        </w:numPr>
        <w:spacing w:after="60"/>
      </w:pPr>
      <w:r>
        <w:t xml:space="preserve">Lower correlation → higher diversification benefit → tangency weight tilts toward the asset that becomes a better hedge.</w:t>
      </w:r>
    </w:p>
    <w:p>
      <w:pPr>
        <w:pStyle w:val="ListParagraph"/>
        <w:numPr>
          <w:ilvl w:val="0"/>
          <w:numId w:val="2"/>
        </w:numPr>
        <w:spacing w:after="60"/>
      </w:pPr>
      <w:r>
        <w:t xml:space="preserve">Black-Litterman: start with market portfolio (no-view prior); tilt based on views and confidence. Smart investors should still diversify.</w:t>
      </w:r>
    </w:p>
    <w:p>
      <w:pPr>
        <w:spacing w:after="80"/>
      </w:pPr>
      <w:r>
        <w:rPr>
          <w:b/>
          <w:bCs/>
        </w:rPr>
        <w:t xml:space="preserve">Cases:</w:t>
      </w:r>
    </w:p>
    <w:p>
      <w:pPr>
        <w:pStyle w:val="ListParagraph"/>
        <w:numPr>
          <w:ilvl w:val="0"/>
          <w:numId w:val="2"/>
        </w:numPr>
        <w:spacing w:after="60"/>
      </w:pPr>
      <w:r>
        <w:t xml:space="preserve">Riverside Memorial: shows benefit of adding asset classes and T-bills to reach the CML; constraints reduce achievable gains.</w:t>
      </w:r>
    </w:p>
    <w:p>
      <w:pPr>
        <w:pStyle w:val="ListParagraph"/>
        <w:numPr>
          <w:ilvl w:val="0"/>
          <w:numId w:val="2"/>
        </w:numPr>
        <w:spacing w:after="60"/>
      </w:pPr>
      <w:r>
        <w:t xml:space="preserve">HMC: Policy Portfolio + active management within classes. Liquidity matters (2008 crisis); high beta has low alpha (Frazzini-Pedersen).</w:t>
      </w:r>
    </w:p>
    <w:p>
      <w:pPr>
        <w:pStyle w:val="Heading2"/>
      </w:pPr>
      <w:r>
        <w:t xml:space="preserve">Block B — Market Efficiency &amp; Arbitrage</w:t>
      </w:r>
    </w:p>
    <w:p>
      <w:pPr>
        <w:spacing w:after="80"/>
      </w:pPr>
      <w:r>
        <w:rPr>
          <w:b/>
          <w:bCs/>
        </w:rPr>
        <w:t xml:space="preserve">EMH definition:</w:t>
      </w:r>
    </w:p>
    <w:p>
      <w:pPr>
        <w:pStyle w:val="ListParagraph"/>
        <w:numPr>
          <w:ilvl w:val="0"/>
          <w:numId w:val="2"/>
        </w:numPr>
        <w:spacing w:after="60"/>
      </w:pPr>
      <w:r>
        <w:t xml:space="preserve">Rational prices = PV of expected future cash flows. Three consequences: prices react fast to news, short-run changes are random, public info is priced (semi-strong).</w:t>
      </w:r>
    </w:p>
    <w:p>
      <w:pPr>
        <w:spacing w:after="80"/>
      </w:pPr>
      <w:r>
        <w:rPr>
          <w:b/>
          <w:bCs/>
        </w:rPr>
        <w:t xml:space="preserve">Evidence — partial efficiency:</w:t>
      </w:r>
    </w:p>
    <w:p>
      <w:pPr>
        <w:pStyle w:val="ListParagraph"/>
        <w:numPr>
          <w:ilvl w:val="0"/>
          <w:numId w:val="2"/>
        </w:numPr>
        <w:spacing w:after="60"/>
      </w:pPr>
      <w:r>
        <w:t xml:space="preserve">Merger target prices jump at announcement, then flat → efficient reaction.</w:t>
      </w:r>
    </w:p>
    <w:p>
      <w:pPr>
        <w:pStyle w:val="ListParagraph"/>
        <w:numPr>
          <w:ilvl w:val="0"/>
          <w:numId w:val="2"/>
        </w:numPr>
        <w:spacing w:after="60"/>
      </w:pPr>
      <w:r>
        <w:t xml:space="preserve">PEAD (Ball &amp; Brown 1968): prices drift in earnings direction → underreaction; magnitude has declined as markets learn.</w:t>
      </w:r>
    </w:p>
    <w:p>
      <w:pPr>
        <w:spacing w:after="80"/>
      </w:pPr>
      <w:r>
        <w:rPr>
          <w:b/>
          <w:bCs/>
        </w:rPr>
        <w:t xml:space="preserve">Factors:</w:t>
      </w:r>
    </w:p>
    <w:p>
      <w:pPr>
        <w:pStyle w:val="ListParagraph"/>
        <w:numPr>
          <w:ilvl w:val="0"/>
          <w:numId w:val="2"/>
        </w:numPr>
        <w:spacing w:after="60"/>
      </w:pPr>
      <w:r>
        <w:t xml:space="preserve">Value (long cheap, short expensive) → ~3-5% / year.</w:t>
      </w:r>
    </w:p>
    <w:p>
      <w:pPr>
        <w:pStyle w:val="ListParagraph"/>
        <w:numPr>
          <w:ilvl w:val="0"/>
          <w:numId w:val="2"/>
        </w:numPr>
        <w:spacing w:after="60"/>
      </w:pPr>
      <w:r>
        <w:t xml:space="preserve">Momentum (long winners, short losers, 1-yr horizon) → ~8-12% / year; rare severe crashes.</w:t>
      </w:r>
    </w:p>
    <w:p>
      <w:pPr>
        <w:pStyle w:val="ListParagraph"/>
        <w:numPr>
          <w:ilvl w:val="0"/>
          <w:numId w:val="2"/>
        </w:numPr>
        <w:spacing w:after="60"/>
      </w:pPr>
      <w:r>
        <w:t xml:space="preserve">"Factor zoo" — most don't survive out of sample. Value &amp; momentum are robust.</w:t>
      </w:r>
    </w:p>
    <w:p>
      <w:pPr>
        <w:spacing w:after="80"/>
      </w:pPr>
      <w:r>
        <w:rPr>
          <w:b/>
          <w:bCs/>
        </w:rPr>
        <w:t xml:space="preserve">Short selling and arbitrage:</w:t>
      </w:r>
    </w:p>
    <w:p>
      <w:pPr>
        <w:pStyle w:val="ListParagraph"/>
        <w:numPr>
          <w:ilvl w:val="0"/>
          <w:numId w:val="2"/>
        </w:numPr>
        <w:spacing w:after="60"/>
      </w:pPr>
      <w:r>
        <w:t xml:space="preserve">Short = borrow + sell, buy back later. Losses unlimited; needs margin account.</w:t>
      </w:r>
    </w:p>
    <w:p>
      <w:pPr>
        <w:pStyle w:val="ListParagraph"/>
        <w:numPr>
          <w:ilvl w:val="0"/>
          <w:numId w:val="2"/>
        </w:numPr>
        <w:spacing w:after="60"/>
      </w:pPr>
      <w:r>
        <w:t xml:space="preserve">Margin requirement (where m = maintenance margin rate):</w:t>
      </w:r>
    </w:p>
    <w:p>
      <w:pPr>
        <w:spacing w:after="140" w:before="140"/>
        <w:jc w:val="center"/>
      </w:pPr>
      <m:oMath>
        <m:r>
          <m:t>Total margin</m:t>
        </m:r>
        <m:r>
          <m:t> = </m:t>
        </m:r>
        <m:r>
          <m:t>Short value</m:t>
        </m:r>
        <m:r>
          <m:t> × (1 + m)</m:t>
        </m:r>
      </m:oMath>
    </w:p>
    <w:p>
      <w:pPr>
        <w:pStyle w:val="ListParagraph"/>
        <w:numPr>
          <w:ilvl w:val="0"/>
          <w:numId w:val="2"/>
        </w:numPr>
        <w:spacing w:after="60"/>
      </w:pPr>
      <w:r>
        <w:t xml:space="preserve">Margin call fires when current margin &lt; required.</w:t>
      </w:r>
    </w:p>
    <w:p>
      <w:pPr>
        <w:pStyle w:val="ListParagraph"/>
        <w:numPr>
          <w:ilvl w:val="0"/>
          <w:numId w:val="2"/>
        </w:numPr>
        <w:spacing w:after="60"/>
      </w:pPr>
      <w:r>
        <w:t xml:space="preserve">Arbitrage risks: gap widens, illiquidity, predatory trading, redemptions, multiple equilibria, short squeezes.</w:t>
      </w:r>
    </w:p>
    <w:p>
      <w:pPr>
        <w:spacing w:after="80"/>
      </w:pPr>
      <w:r>
        <w:rPr>
          <w:b/>
          <w:bCs/>
        </w:rPr>
        <w:t xml:space="preserve">Squeezes:</w:t>
      </w:r>
    </w:p>
    <w:p>
      <w:pPr>
        <w:pStyle w:val="ListParagraph"/>
        <w:numPr>
          <w:ilvl w:val="0"/>
          <w:numId w:val="2"/>
        </w:numPr>
        <w:spacing w:after="60"/>
      </w:pPr>
      <w:r>
        <w:t xml:space="preserve">VW (2008): Porsche secretly built 75% stake; shorts squeezed.</w:t>
      </w:r>
    </w:p>
    <w:p>
      <w:pPr>
        <w:pStyle w:val="ListParagraph"/>
        <w:numPr>
          <w:ilvl w:val="0"/>
          <w:numId w:val="2"/>
        </w:numPr>
        <w:spacing w:after="60"/>
      </w:pPr>
      <w:r>
        <w:t xml:space="preserve">GameStop (2021): Reddit + short interest &gt; 140% → 1700% rally; Melvin Capital lost $7bn.</w:t>
      </w:r>
    </w:p>
    <w:p>
      <w:pPr>
        <w:pStyle w:val="Heading2"/>
      </w:pPr>
      <w:r>
        <w:t xml:space="preserve">Block C — Investors &amp; Performance</w:t>
      </w:r>
    </w:p>
    <w:p>
      <w:pPr>
        <w:pStyle w:val="ListParagraph"/>
        <w:numPr>
          <w:ilvl w:val="0"/>
          <w:numId w:val="2"/>
        </w:numPr>
        <w:spacing w:after="60"/>
      </w:pPr>
      <w:r>
        <w:t xml:space="preserve">Individual investors: underperform, overtrade, home-biased, undiversified (avg 4 stocks).</w:t>
      </w:r>
    </w:p>
    <w:p>
      <w:pPr>
        <w:pStyle w:val="ListParagraph"/>
        <w:numPr>
          <w:ilvl w:val="0"/>
          <w:numId w:val="2"/>
        </w:numPr>
        <w:spacing w:after="60"/>
      </w:pPr>
      <w:r>
        <w:t xml:space="preserve">Behavioral: loss aversion (2× pain to gain), disposition effect, learning failures with noisy outcomes.</w:t>
      </w:r>
    </w:p>
    <w:p>
      <w:pPr>
        <w:pStyle w:val="ListParagraph"/>
        <w:numPr>
          <w:ilvl w:val="0"/>
          <w:numId w:val="2"/>
        </w:numPr>
        <w:spacing w:after="60"/>
      </w:pPr>
      <w:r>
        <w:t xml:space="preserve">Pension funds: no skill persistence. Mutual funds: apparent persistence = momentum (Carhart 1997). After fees → negative alpha.</w:t>
      </w:r>
    </w:p>
    <w:p>
      <w:pPr>
        <w:pStyle w:val="ListParagraph"/>
        <w:numPr>
          <w:ilvl w:val="0"/>
          <w:numId w:val="2"/>
        </w:numPr>
        <w:spacing w:after="60"/>
      </w:pPr>
      <w:r>
        <w:t xml:space="preserve">Active vs passive: aggregate active = zero alpha before fees, negative after.</w:t>
      </w:r>
    </w:p>
    <w:p>
      <w:pPr>
        <w:pStyle w:val="ListParagraph"/>
        <w:numPr>
          <w:ilvl w:val="0"/>
          <w:numId w:val="2"/>
        </w:numPr>
        <w:spacing w:after="60"/>
      </w:pPr>
      <w:r>
        <w:t xml:space="preserve">Hedge funds: high fees, illiquidity, option-like returns ("pennies in front of a steamroller"), survivorship/self-reporting bias overstates returns by 2-5% per year.</w:t>
      </w:r>
    </w:p>
    <w:p>
      <w:pPr>
        <w:pStyle w:val="ListParagraph"/>
        <w:numPr>
          <w:ilvl w:val="0"/>
          <w:numId w:val="2"/>
        </w:numPr>
        <w:spacing w:after="60"/>
      </w:pPr>
      <w:r>
        <w:t xml:space="preserve">Smart beta / factor investing = transparent rules-based factor exposure. ETFs = liquid, low-cost wrappers.</w:t>
      </w:r>
    </w:p>
    <w:p>
      <w:pPr>
        <w:pStyle w:val="Heading2"/>
      </w:pPr>
      <w:r>
        <w:t xml:space="preserve">Block D — Options &amp; Strategies</w:t>
      </w:r>
    </w:p>
    <w:p>
      <w:pPr>
        <w:spacing w:after="80"/>
      </w:pPr>
      <w:r>
        <w:rPr>
          <w:b/>
          <w:bCs/>
        </w:rPr>
        <w:t xml:space="preserve">Definitions:</w:t>
      </w:r>
    </w:p>
    <w:p>
      <w:pPr>
        <w:pStyle w:val="ListParagraph"/>
        <w:numPr>
          <w:ilvl w:val="0"/>
          <w:numId w:val="2"/>
        </w:numPr>
        <w:spacing w:after="60"/>
      </w:pPr>
      <w:r>
        <w:t xml:space="preserve">Call = right to buy at K; Put = right to sell at K. American = exercise anytime; European = at expiration only.</w:t>
      </w:r>
    </w:p>
    <w:p>
      <w:pPr>
        <w:pStyle w:val="ListParagraph"/>
        <w:numPr>
          <w:ilvl w:val="0"/>
          <w:numId w:val="2"/>
        </w:numPr>
        <w:spacing w:after="60"/>
      </w:pPr>
      <w:r>
        <w:t xml:space="preserve">ITM (S&gt;K for call), ATM (S≈K), OTM (S&lt;K for call).</w:t>
      </w:r>
    </w:p>
    <w:p>
      <w:pPr>
        <w:spacing w:after="80"/>
      </w:pPr>
      <w:r>
        <w:rPr>
          <w:b/>
          <w:bCs/>
        </w:rPr>
        <w:t xml:space="preserve">Payoffs:</w:t>
      </w:r>
    </w:p>
    <w:p>
      <w:pPr>
        <w:pStyle w:val="ListParagraph"/>
        <w:numPr>
          <w:ilvl w:val="0"/>
          <w:numId w:val="2"/>
        </w:numPr>
        <w:spacing w:after="60"/>
      </w:pPr>
      <w:r>
        <w:t xml:space="preserve">Call and put payoffs at expiration:</w:t>
      </w:r>
    </w:p>
    <w:p>
      <w:pPr>
        <w:spacing w:after="140" w:before="140"/>
        <w:jc w:val="center"/>
      </w:pPr>
      <m:oMath>
        <m:sSub>
          <m:sSubPr/>
          <m:e>
            <m:r>
              <m:t>C</m:t>
            </m:r>
          </m:e>
          <m:sub>
            <m:r>
              <m:t>T</m:t>
            </m:r>
          </m:sub>
        </m:sSub>
        <m:r>
          <m:t> = \max(</m:t>
        </m:r>
        <m:sSub>
          <m:sSubPr/>
          <m:e>
            <m:r>
              <m:t>S</m:t>
            </m:r>
          </m:e>
          <m:sub>
            <m:r>
              <m:t>T</m:t>
            </m:r>
          </m:sub>
        </m:sSub>
        <m:r>
          <m:t> - K, 0)     </m:t>
        </m:r>
        <m:sSub>
          <m:sSubPr/>
          <m:e>
            <m:r>
              <m:t>P</m:t>
            </m:r>
          </m:e>
          <m:sub>
            <m:r>
              <m:t>T</m:t>
            </m:r>
          </m:sub>
        </m:sSub>
        <m:r>
          <m:t> = \max(K - </m:t>
        </m:r>
        <m:sSub>
          <m:sSubPr/>
          <m:e>
            <m:r>
              <m:t>S</m:t>
            </m:r>
          </m:e>
          <m:sub>
            <m:r>
              <m:t>T</m:t>
            </m:r>
          </m:sub>
        </m:sSub>
        <m:r>
          <m:t>, 0)</m:t>
        </m:r>
      </m:oMath>
    </w:p>
    <w:p>
      <w:pPr>
        <w:spacing w:after="80"/>
      </w:pPr>
      <w:r>
        <w:rPr>
          <w:b/>
          <w:bCs/>
        </w:rPr>
        <w:t xml:space="preserve">Put-Call Parity (European, same K, T):</w:t>
      </w:r>
    </w:p>
    <w:p>
      <w:pPr>
        <w:pStyle w:val="ListParagraph"/>
        <w:numPr>
          <w:ilvl w:val="0"/>
          <w:numId w:val="2"/>
        </w:numPr>
        <w:spacing w:after="60"/>
      </w:pPr>
      <w:r>
        <w:t xml:space="preserve">Put-call parity (European options):</w:t>
      </w:r>
    </w:p>
    <w:p>
      <w:pPr>
        <w:spacing w:after="140" w:before="140"/>
        <w:jc w:val="center"/>
      </w:pPr>
      <m:oMath>
        <m:r>
          <m:t>P + S = C + B(K)</m:t>
        </m:r>
      </m:oMath>
    </w:p>
    <w:p>
      <w:pPr>
        <w:spacing w:after="80"/>
      </w:pPr>
      <w:r>
        <w:rPr>
          <w:b/>
          <w:bCs/>
        </w:rPr>
        <w:t xml:space="preserve">Strategy → view mapping (memorize this table):</w:t>
      </w:r>
    </w:p>
    <w:p>
      <w:pPr>
        <w:pStyle w:val="ListParagraph"/>
        <w:numPr>
          <w:ilvl w:val="0"/>
          <w:numId w:val="2"/>
        </w:numPr>
        <w:spacing w:after="60"/>
      </w:pPr>
      <w:r>
        <w:t xml:space="preserve">Long call → "stock will go up a lot."</w:t>
      </w:r>
    </w:p>
    <w:p>
      <w:pPr>
        <w:pStyle w:val="ListParagraph"/>
        <w:numPr>
          <w:ilvl w:val="0"/>
          <w:numId w:val="2"/>
        </w:numPr>
        <w:spacing w:after="60"/>
      </w:pPr>
      <w:r>
        <w:t xml:space="preserve">Long put → "stock will go down a lot."</w:t>
      </w:r>
    </w:p>
    <w:p>
      <w:pPr>
        <w:pStyle w:val="ListParagraph"/>
        <w:numPr>
          <w:ilvl w:val="0"/>
          <w:numId w:val="2"/>
        </w:numPr>
        <w:spacing w:after="60"/>
      </w:pPr>
      <w:r>
        <w:t xml:space="preserve">Long straddle (call+put ATM) → "volatility will rise."</w:t>
      </w:r>
    </w:p>
    <w:p>
      <w:pPr>
        <w:pStyle w:val="ListParagraph"/>
        <w:numPr>
          <w:ilvl w:val="0"/>
          <w:numId w:val="2"/>
        </w:numPr>
        <w:spacing w:after="60"/>
      </w:pPr>
      <w:r>
        <w:t xml:space="preserve">Short straddle → "vol will fall" but unlimited loss.</w:t>
      </w:r>
    </w:p>
    <w:p>
      <w:pPr>
        <w:pStyle w:val="ListParagraph"/>
        <w:numPr>
          <w:ilvl w:val="0"/>
          <w:numId w:val="2"/>
        </w:numPr>
        <w:spacing w:after="60"/>
      </w:pPr>
      <w:r>
        <w:t xml:space="preserve">Butterfly spread (buy ITM + sell 2 ATM + buy OTM call) → "low vol with limited loss."</w:t>
      </w:r>
    </w:p>
    <w:p>
      <w:pPr>
        <w:pStyle w:val="ListParagraph"/>
        <w:numPr>
          <w:ilvl w:val="0"/>
          <w:numId w:val="2"/>
        </w:numPr>
        <w:spacing w:after="60"/>
      </w:pPr>
      <w:r>
        <w:t xml:space="preserve">Bull spread (long ITM + short OTM call) → "up moderately."</w:t>
      </w:r>
    </w:p>
    <w:p>
      <w:pPr>
        <w:pStyle w:val="ListParagraph"/>
        <w:numPr>
          <w:ilvl w:val="0"/>
          <w:numId w:val="2"/>
        </w:numPr>
        <w:spacing w:after="60"/>
      </w:pPr>
      <w:r>
        <w:t xml:space="preserve">Bear spread (long ITM + short OTM put) → "down moderately."</w:t>
      </w:r>
    </w:p>
    <w:p>
      <w:pPr>
        <w:pStyle w:val="ListParagraph"/>
        <w:numPr>
          <w:ilvl w:val="0"/>
          <w:numId w:val="2"/>
        </w:numPr>
        <w:spacing w:after="60"/>
      </w:pPr>
      <w:r>
        <w:t xml:space="preserve">Portfolio insurance (stock + put) → cap downside.</w:t>
      </w:r>
    </w:p>
    <w:p>
      <w:pPr>
        <w:pStyle w:val="ListParagraph"/>
        <w:numPr>
          <w:ilvl w:val="0"/>
          <w:numId w:val="2"/>
        </w:numPr>
        <w:spacing w:after="60"/>
      </w:pPr>
      <w:r>
        <w:t xml:space="preserve">Synthetic short (long put − short call − bond) → when borrow restricted.</w:t>
      </w:r>
    </w:p>
    <w:p>
      <w:pPr>
        <w:pStyle w:val="Heading1"/>
        <w:pageBreakBefore/>
      </w:pPr>
      <w:r>
        <w:t xml:space="preserve">Module 6 — Valuing Intangible Assets (Summary)</w:t>
      </w:r>
    </w:p>
    <w:p>
      <w:pPr>
        <w:pBdr>
          <w:top w:val="single" w:color="1B5E20" w:sz="12"/>
        </w:pBdr>
        <w:shd w:fill="E2F0D9" w:val="clear"/>
        <w:spacing w:after="80" w:before="100"/>
      </w:pPr>
      <w:r>
        <w:rPr>
          <w:b/>
          <w:bCs/>
          <w:color w:val="1B5E20"/>
          <w:sz w:val="22"/>
          <w:szCs w:val="22"/>
        </w:rPr>
        <w:t xml:space="preserve">In one paragraph (for non-finance readers)</w:t>
      </w:r>
    </w:p>
    <w:p>
      <w:pPr>
        <w:spacing w:after="120"/>
      </w:pPr>
      <w:r>
        <w:t xml:space="preserve">Modern companies generate most of their value from assets you can't see or touch: brands, patents, software, customer relationships, trained workforces. Accounting rules — designed for a world of factories and inventory — handle these intangibles awkwardly. R&amp;D and brand-building are charged to current earnings even though they create value for years. This means reported book equity understates the firm's true assets, reported earnings understate true profits, and ratios like ROIC look misleadingly high. The module's puzzle: how should an analyst (or an acquirer) adjust the accounts to see the real economic picture? And how should a firm finance itself when its main assets can't be pledged as collateral? Most intangible-heavy firms hold large cash buffers, run with low or even negative net debt, and use deal structures (dual-class shares, earn-outs, CVRs) that keep the key people aligned even after a transaction.</w:t>
      </w:r>
    </w:p>
    <w:p>
      <w:pPr>
        <w:spacing w:after="120"/>
      </w:pPr>
      <w:r>
        <w:t xml:space="preserve">4 hours. Prof. Guillaume Vuillemey. Answers four questions: how to account, value, finance, and structure deals around intangibles.</w:t>
      </w:r>
    </w:p>
    <w:p>
      <w:pPr>
        <w:pStyle w:val="Heading2"/>
      </w:pPr>
      <w:r>
        <w:t xml:space="preserve">Key trends</w:t>
      </w:r>
    </w:p>
    <w:p>
      <w:pPr>
        <w:pStyle w:val="ListParagraph"/>
        <w:numPr>
          <w:ilvl w:val="0"/>
          <w:numId w:val="2"/>
        </w:numPr>
        <w:spacing w:after="60"/>
      </w:pPr>
      <w:r>
        <w:t xml:space="preserve">Intangibles (R&amp;D, software, brands, data, customer lists, know-how, human capital) grew faster than tangibles over recent decades.</w:t>
      </w:r>
    </w:p>
    <w:p>
      <w:pPr>
        <w:pStyle w:val="ListParagraph"/>
        <w:numPr>
          <w:ilvl w:val="0"/>
          <w:numId w:val="2"/>
        </w:numPr>
        <w:spacing w:after="60"/>
      </w:pPr>
      <w:r>
        <w:t xml:space="preserve">9 of top-10 most valuable firms in 2025 are tech.</w:t>
      </w:r>
    </w:p>
    <w:p>
      <w:pPr>
        <w:pStyle w:val="ListParagraph"/>
        <w:numPr>
          <w:ilvl w:val="0"/>
          <w:numId w:val="2"/>
        </w:numPr>
        <w:spacing w:after="60"/>
      </w:pPr>
      <w:r>
        <w:t xml:space="preserve">Apple: PPE = 12.5% of assets (vs Exxon 65%); brand value alone = 134% of total assets.</w:t>
      </w:r>
    </w:p>
    <w:p>
      <w:pPr>
        <w:pStyle w:val="ListParagraph"/>
        <w:numPr>
          <w:ilvl w:val="0"/>
          <w:numId w:val="2"/>
        </w:numPr>
        <w:spacing w:after="60"/>
      </w:pPr>
      <w:r>
        <w:t xml:space="preserve">Sectors heavy in intangibles trade at higher market-to-book (Software 8.7×, biotech 6.0×; auto parts 1.65×).</w:t>
      </w:r>
    </w:p>
    <w:p>
      <w:pPr>
        <w:pStyle w:val="Heading2"/>
      </w:pPr>
      <w:r>
        <w:t xml:space="preserve">Accounting</w:t>
      </w:r>
    </w:p>
    <w:p>
      <w:pPr>
        <w:pStyle w:val="ListParagraph"/>
        <w:numPr>
          <w:ilvl w:val="0"/>
          <w:numId w:val="2"/>
        </w:numPr>
        <w:spacing w:after="60"/>
      </w:pPr>
      <w:r>
        <w:t xml:space="preserve">Most intangibles are EXPENSED (not capitalized) under US GAAP and IFRS — too uncertain per accountants.</w:t>
      </w:r>
    </w:p>
    <w:p>
      <w:pPr>
        <w:pStyle w:val="ListParagraph"/>
        <w:numPr>
          <w:ilvl w:val="0"/>
          <w:numId w:val="2"/>
        </w:numPr>
        <w:spacing w:after="60"/>
      </w:pPr>
      <w:r>
        <w:t xml:space="preserve">IFRS may capitalize development costs; not research. Acquired intangibles can be capitalized.</w:t>
      </w:r>
    </w:p>
    <w:p>
      <w:pPr>
        <w:pStyle w:val="ListParagraph"/>
        <w:numPr>
          <w:ilvl w:val="0"/>
          <w:numId w:val="2"/>
        </w:numPr>
        <w:spacing w:after="60"/>
      </w:pPr>
      <w:r>
        <w:t xml:space="preserve">Two conflicting principles: matching (capitalize) vs prudence (expense).</w:t>
      </w:r>
    </w:p>
    <w:p>
      <w:pPr>
        <w:pStyle w:val="ListParagraph"/>
        <w:numPr>
          <w:ilvl w:val="0"/>
          <w:numId w:val="2"/>
        </w:numPr>
        <w:spacing w:after="60"/>
      </w:pPr>
      <w:r>
        <w:t xml:space="preserve">Consequences of expensing: understated CAPX, book equity, EBITDA, NI; bigger tax shield via lower EBT.</w:t>
      </w:r>
    </w:p>
    <w:p>
      <w:pPr>
        <w:spacing w:after="80"/>
      </w:pPr>
      <w:r>
        <w:rPr>
          <w:b/>
          <w:bCs/>
        </w:rPr>
        <w:t xml:space="preserve">Capitalizing formula (amortizable life n):</w:t>
      </w:r>
    </w:p>
    <w:p>
      <w:pPr>
        <w:pStyle w:val="ListParagraph"/>
        <w:numPr>
          <w:ilvl w:val="0"/>
          <w:numId w:val="2"/>
        </w:numPr>
        <w:spacing w:after="60"/>
      </w:pPr>
      <w:r>
        <w:t xml:space="preserve">Capitalized intangible (assuming amortizable life n):</w:t>
      </w:r>
    </w:p>
    <w:p>
      <w:pPr>
        <w:spacing w:after="140" w:before="140"/>
        <w:jc w:val="center"/>
      </w:pPr>
      <m:oMath>
        <m:r>
          <m:t>Capitalized intangible</m:t>
        </m:r>
        <m:r>
          <m:t> = </m:t>
        </m:r>
        <m:sSubSup>
          <m:sSubSupPr/>
          <m:e>
            <m:r>
              <m:t>Σ</m:t>
            </m:r>
          </m:e>
          <m:sub>
            <m:r>
              <m:t>k=-(n-1)</m:t>
            </m:r>
          </m:sub>
          <m:sup>
            <m:r>
              <m:t>0</m:t>
            </m:r>
          </m:sup>
        </m:sSubSup>
        <m:r>
          <m:t> </m:t>
        </m:r>
        <m:r>
          <m:t>Int.Exp</m:t>
        </m:r>
        <m:sSub>
          <m:sSubPr/>
          <m:e>
            <m:r>
              <m:t/>
            </m:r>
          </m:e>
          <m:sub>
            <m:r>
              <m:t>t+k</m:t>
            </m:r>
          </m:sub>
        </m:sSub>
        <m:r>
          <m:t> · </m:t>
        </m:r>
        <m:f>
          <m:num>
            <m:r>
              <m:t>n+k</m:t>
            </m:r>
          </m:num>
          <m:den>
            <m:r>
              <m:t>n</m:t>
            </m:r>
          </m:den>
        </m:f>
      </m:oMath>
    </w:p>
    <w:p>
      <w:pPr>
        <w:pStyle w:val="ListParagraph"/>
        <w:numPr>
          <w:ilvl w:val="0"/>
          <w:numId w:val="2"/>
        </w:numPr>
        <w:spacing w:after="60"/>
      </w:pPr>
      <w:r>
        <w:t xml:space="preserve">Example n=3: 100% of year t expense + 2/3 of year t−1 + 1/3 of year t−2.</w:t>
      </w:r>
    </w:p>
    <w:p>
      <w:pPr>
        <w:pStyle w:val="ListParagraph"/>
        <w:numPr>
          <w:ilvl w:val="0"/>
          <w:numId w:val="2"/>
        </w:numPr>
        <w:spacing w:after="60"/>
      </w:pPr>
      <w:r>
        <w:t xml:space="preserve">Adjusted Book Equity = Book Equity + Capitalized intangibles.</w:t>
      </w:r>
    </w:p>
    <w:p>
      <w:pPr>
        <w:pStyle w:val="ListParagraph"/>
        <w:numPr>
          <w:ilvl w:val="0"/>
          <w:numId w:val="2"/>
        </w:numPr>
        <w:spacing w:after="60"/>
      </w:pPr>
      <w:r>
        <w:t xml:space="preserve">Adjusted EBITDA = EBITDA + Investment in intangibles − Amortization.</w:t>
      </w:r>
    </w:p>
    <w:p>
      <w:pPr>
        <w:pStyle w:val="ListParagraph"/>
        <w:numPr>
          <w:ilvl w:val="0"/>
          <w:numId w:val="2"/>
        </w:numPr>
        <w:spacing w:after="60"/>
      </w:pPr>
      <w:r>
        <w:t xml:space="preserve">Be careful with taxes — capitalizing doesn't reduce taxes (the cost is already tax-deductible).</w:t>
      </w:r>
    </w:p>
    <w:p>
      <w:pPr>
        <w:spacing w:after="80"/>
      </w:pPr>
      <w:r>
        <w:rPr>
          <w:b/>
          <w:bCs/>
        </w:rPr>
        <w:t xml:space="preserve">ROIC impact (BioTechCo example):</w:t>
      </w:r>
    </w:p>
    <w:p>
      <w:pPr>
        <w:pStyle w:val="ListParagraph"/>
        <w:numPr>
          <w:ilvl w:val="0"/>
          <w:numId w:val="2"/>
        </w:numPr>
        <w:spacing w:after="60"/>
      </w:pPr>
      <w:r>
        <w:t xml:space="preserve">Before capitalizing: ROIC = 43.9%. After: 29.6%.</w:t>
      </w:r>
    </w:p>
    <w:p>
      <w:pPr>
        <w:pStyle w:val="ListParagraph"/>
        <w:numPr>
          <w:ilvl w:val="0"/>
          <w:numId w:val="2"/>
        </w:numPr>
        <w:spacing w:after="60"/>
      </w:pPr>
      <w:r>
        <w:t xml:space="preserve">Capitalizing usually LOWERS ROIC because IC grows faster than EBIT.</w:t>
      </w:r>
    </w:p>
    <w:p>
      <w:pPr>
        <w:spacing w:after="80"/>
      </w:pPr>
      <w:r>
        <w:rPr>
          <w:b/>
          <w:bCs/>
        </w:rPr>
        <w:t xml:space="preserve">Goodwill &amp; PPA:</w:t>
      </w:r>
    </w:p>
    <w:p>
      <w:pPr>
        <w:pStyle w:val="ListParagraph"/>
        <w:numPr>
          <w:ilvl w:val="0"/>
          <w:numId w:val="2"/>
        </w:numPr>
        <w:spacing w:after="60"/>
      </w:pPr>
      <w:r>
        <w:t xml:space="preserve">Goodwill = purchase price − fair value of identifiable net assets.</w:t>
      </w:r>
    </w:p>
    <w:p>
      <w:pPr>
        <w:pStyle w:val="ListParagraph"/>
        <w:numPr>
          <w:ilvl w:val="0"/>
          <w:numId w:val="2"/>
        </w:numPr>
        <w:spacing w:after="60"/>
      </w:pPr>
      <w:r>
        <w:t xml:space="preserve">Amazon/Whole Foods: 70% of $13bn went to goodwill.</w:t>
      </w:r>
    </w:p>
    <w:p>
      <w:pPr>
        <w:pStyle w:val="ListParagraph"/>
        <w:numPr>
          <w:ilvl w:val="0"/>
          <w:numId w:val="2"/>
        </w:numPr>
        <w:spacing w:after="60"/>
      </w:pPr>
      <w:r>
        <w:t xml:space="preserve">Assess acquisitions by subsequent ROIC, NOT by goodwill level.</w:t>
      </w:r>
    </w:p>
    <w:p>
      <w:pPr>
        <w:pStyle w:val="Heading2"/>
      </w:pPr>
      <w:r>
        <w:t xml:space="preserve">Financing</w:t>
      </w:r>
    </w:p>
    <w:p>
      <w:pPr>
        <w:pStyle w:val="ListParagraph"/>
        <w:numPr>
          <w:ilvl w:val="0"/>
          <w:numId w:val="2"/>
        </w:numPr>
        <w:spacing w:after="60"/>
      </w:pPr>
      <w:r>
        <w:t xml:space="preserve">Intangibles hard to collateralize: no physical substance, asymmetric info, value sticks to specific business model.</w:t>
      </w:r>
    </w:p>
    <w:p>
      <w:pPr>
        <w:pStyle w:val="ListParagraph"/>
        <w:numPr>
          <w:ilvl w:val="0"/>
          <w:numId w:val="2"/>
        </w:numPr>
        <w:spacing w:after="60"/>
      </w:pPr>
      <w:r>
        <w:t xml:space="preserve">Solution 1: cash/securities. Apple FY24: 43% of assets in cash; net debt = −$50bn (−13.5%). US corporate sector now net LENDER, not borrower.</w:t>
      </w:r>
    </w:p>
    <w:p>
      <w:pPr>
        <w:pStyle w:val="ListParagraph"/>
        <w:numPr>
          <w:ilvl w:val="0"/>
          <w:numId w:val="2"/>
        </w:numPr>
        <w:spacing w:after="60"/>
      </w:pPr>
      <w:r>
        <w:t xml:space="preserve">Solution 2: VC debt (warrant kicker + senior secured), patent-backed loans (35%+ VC-backed startups use them).</w:t>
      </w:r>
    </w:p>
    <w:p>
      <w:pPr>
        <w:spacing w:after="80"/>
      </w:pPr>
      <w:r>
        <w:rPr>
          <w:b/>
          <w:bCs/>
        </w:rPr>
        <w:t xml:space="preserve">Capital structure for tech firms:</w:t>
      </w:r>
    </w:p>
    <w:p>
      <w:pPr>
        <w:pStyle w:val="ListParagraph"/>
        <w:numPr>
          <w:ilvl w:val="0"/>
          <w:numId w:val="2"/>
        </w:numPr>
        <w:spacing w:after="60"/>
      </w:pPr>
      <w:r>
        <w:t xml:space="preserve">Tax shield: WEAK (cyclical, losses).</w:t>
      </w:r>
    </w:p>
    <w:p>
      <w:pPr>
        <w:pStyle w:val="ListParagraph"/>
        <w:numPr>
          <w:ilvl w:val="0"/>
          <w:numId w:val="2"/>
        </w:numPr>
        <w:spacing w:after="60"/>
      </w:pPr>
      <w:r>
        <w:t xml:space="preserve">Distress risk: STRONG (cyclical + tech risk + competition).</w:t>
      </w:r>
    </w:p>
    <w:p>
      <w:pPr>
        <w:pStyle w:val="ListParagraph"/>
        <w:numPr>
          <w:ilvl w:val="0"/>
          <w:numId w:val="2"/>
        </w:numPr>
        <w:spacing w:after="60"/>
      </w:pPr>
      <w:r>
        <w:t xml:space="preserve">Investment needs: STRONG (high inflexible R&amp;D/CAPX/M&amp;A).</w:t>
      </w:r>
    </w:p>
    <w:p>
      <w:pPr>
        <w:pStyle w:val="ListParagraph"/>
        <w:numPr>
          <w:ilvl w:val="0"/>
          <w:numId w:val="2"/>
        </w:numPr>
        <w:spacing w:after="60"/>
      </w:pPr>
      <w:r>
        <w:t xml:space="preserve">Asset pledgeability: STRONG (negative) — intangibles hard to pledge.</w:t>
      </w:r>
    </w:p>
    <w:p>
      <w:pPr>
        <w:pStyle w:val="ListParagraph"/>
        <w:numPr>
          <w:ilvl w:val="0"/>
          <w:numId w:val="2"/>
        </w:numPr>
        <w:spacing w:after="60"/>
      </w:pPr>
      <w:r>
        <w:t xml:space="preserve">Conclusion: tech firms should aim for LOW or NEGATIVE leverage.</w:t>
      </w:r>
    </w:p>
    <w:p>
      <w:pPr>
        <w:spacing w:after="80"/>
      </w:pPr>
      <w:r>
        <w:rPr>
          <w:b/>
          <w:bCs/>
        </w:rPr>
        <w:t xml:space="preserve">NOLV (Net Orderly Liquidation Value) approaches for intangibles:</w:t>
      </w:r>
    </w:p>
    <w:p>
      <w:pPr>
        <w:pStyle w:val="ListParagraph"/>
        <w:numPr>
          <w:ilvl w:val="0"/>
          <w:numId w:val="2"/>
        </w:numPr>
        <w:spacing w:after="60"/>
      </w:pPr>
      <w:r>
        <w:t xml:space="preserve">Market-based: comparable transactions.</w:t>
      </w:r>
    </w:p>
    <w:p>
      <w:pPr>
        <w:pStyle w:val="ListParagraph"/>
        <w:numPr>
          <w:ilvl w:val="0"/>
          <w:numId w:val="2"/>
        </w:numPr>
        <w:spacing w:after="60"/>
      </w:pPr>
      <w:r>
        <w:t xml:space="preserve">Cost-based: replacement cost.</w:t>
      </w:r>
    </w:p>
    <w:p>
      <w:pPr>
        <w:pStyle w:val="ListParagraph"/>
        <w:numPr>
          <w:ilvl w:val="0"/>
          <w:numId w:val="2"/>
        </w:numPr>
        <w:spacing w:after="60"/>
      </w:pPr>
      <w:r>
        <w:t xml:space="preserve">Income-based: relief-from-royalty — PV of royalties a buyer would pay.</w:t>
      </w:r>
    </w:p>
    <w:p>
      <w:pPr>
        <w:pStyle w:val="ListParagraph"/>
        <w:numPr>
          <w:ilvl w:val="0"/>
          <w:numId w:val="2"/>
        </w:numPr>
        <w:spacing w:after="60"/>
      </w:pPr>
      <w:r>
        <w:t xml:space="preserve">S&amp;P rules of thumb: inventories 50%, receivables 80%, real estate 60-85%, intangibles much lower and heterogeneous (CompUSA 0.01×, Danskin 0.23× of sales).</w:t>
      </w:r>
    </w:p>
    <w:p>
      <w:pPr>
        <w:pStyle w:val="Heading2"/>
      </w:pPr>
      <w:r>
        <w:t xml:space="preserve">Deals with intangibles</w:t>
      </w:r>
    </w:p>
    <w:p>
      <w:pPr>
        <w:pStyle w:val="ListParagraph"/>
        <w:numPr>
          <w:ilvl w:val="0"/>
          <w:numId w:val="2"/>
        </w:numPr>
        <w:spacing w:after="60"/>
      </w:pPr>
      <w:r>
        <w:t xml:space="preserve">Value depends on owner identity → deals embed mechanisms to align/retain talent.</w:t>
      </w:r>
    </w:p>
    <w:p>
      <w:pPr>
        <w:spacing w:after="80"/>
      </w:pPr>
      <w:r>
        <w:rPr>
          <w:b/>
          <w:bCs/>
        </w:rPr>
        <w:t xml:space="preserve">Dual-class shares:</w:t>
      </w:r>
    </w:p>
    <w:p>
      <w:pPr>
        <w:pStyle w:val="ListParagraph"/>
        <w:numPr>
          <w:ilvl w:val="0"/>
          <w:numId w:val="2"/>
        </w:numPr>
        <w:spacing w:after="60"/>
      </w:pPr>
      <w:r>
        <w:t xml:space="preserve">Class A = 1 vote; Class B = multiple votes. Voting ratios: Facebook 10:1, AirBnB 20:1.</w:t>
      </w:r>
    </w:p>
    <w:p>
      <w:pPr>
        <w:pStyle w:val="ListParagraph"/>
        <w:numPr>
          <w:ilvl w:val="0"/>
          <w:numId w:val="2"/>
        </w:numPr>
        <w:spacing w:after="60"/>
      </w:pPr>
      <w:r>
        <w:t xml:space="preserve">Sunset clauses: time-based, event-based, none.</w:t>
      </w:r>
    </w:p>
    <w:p>
      <w:pPr>
        <w:pStyle w:val="ListParagraph"/>
        <w:numPr>
          <w:ilvl w:val="0"/>
          <w:numId w:val="2"/>
        </w:numPr>
        <w:spacing w:after="60"/>
      </w:pPr>
      <w:r>
        <w:t xml:space="preserve">Facebook: B = 15.5% of shares but 64.7% of votes.</w:t>
      </w:r>
    </w:p>
    <w:p>
      <w:pPr>
        <w:pStyle w:val="ListParagraph"/>
        <w:numPr>
          <w:ilvl w:val="0"/>
          <w:numId w:val="2"/>
        </w:numPr>
        <w:spacing w:after="60"/>
      </w:pPr>
      <w:r>
        <w:t xml:space="preserve">Pros: long-termism, founder protection. Cons: agency conflicts, entrenchment.</w:t>
      </w:r>
    </w:p>
    <w:p>
      <w:pPr>
        <w:spacing w:after="80"/>
      </w:pPr>
      <w:r>
        <w:rPr>
          <w:b/>
          <w:bCs/>
        </w:rPr>
        <w:t xml:space="preserve">Earn-outs:</w:t>
      </w:r>
    </w:p>
    <w:p>
      <w:pPr>
        <w:pStyle w:val="ListParagraph"/>
        <w:numPr>
          <w:ilvl w:val="0"/>
          <w:numId w:val="2"/>
        </w:numPr>
        <w:spacing w:after="60"/>
      </w:pPr>
      <w:r>
        <w:t xml:space="preserve">Contingent on milestone (e.g., EBITDA in 3 years). Common in PE.</w:t>
      </w:r>
    </w:p>
    <w:p>
      <w:pPr>
        <w:pStyle w:val="ListParagraph"/>
        <w:numPr>
          <w:ilvl w:val="0"/>
          <w:numId w:val="2"/>
        </w:numPr>
        <w:spacing w:after="60"/>
      </w:pPr>
      <w:r>
        <w:t xml:space="preserve">EBITDA less manipulable than NI; proportional better than threshold.</w:t>
      </w:r>
    </w:p>
    <w:p>
      <w:pPr>
        <w:spacing w:after="80"/>
      </w:pPr>
      <w:r>
        <w:rPr>
          <w:b/>
          <w:bCs/>
        </w:rPr>
        <w:t xml:space="preserve">CVRs:</w:t>
      </w:r>
    </w:p>
    <w:p>
      <w:pPr>
        <w:pStyle w:val="ListParagraph"/>
        <w:numPr>
          <w:ilvl w:val="0"/>
          <w:numId w:val="2"/>
        </w:numPr>
        <w:spacing w:after="60"/>
      </w:pPr>
      <w:r>
        <w:t xml:space="preserve">Publicly-traded earn-outs. Two types: price-protection (collar) and event-driven (FDA approval, sales).</w:t>
      </w:r>
    </w:p>
    <w:p>
      <w:pPr>
        <w:pStyle w:val="ListParagraph"/>
        <w:numPr>
          <w:ilvl w:val="0"/>
          <w:numId w:val="2"/>
        </w:numPr>
        <w:spacing w:after="60"/>
      </w:pPr>
      <w:r>
        <w:t xml:space="preserve">BMS-Celgene 2019: $74bn deal with CVR.</w:t>
      </w:r>
    </w:p>
    <w:p>
      <w:pPr>
        <w:pStyle w:val="ListParagraph"/>
        <w:numPr>
          <w:ilvl w:val="0"/>
          <w:numId w:val="2"/>
        </w:numPr>
        <w:spacing w:after="60"/>
      </w:pPr>
      <w:r>
        <w:t xml:space="preserve">Sanofi-Lemtrada: $1 CVR triggered on March 2014 FDA approval — missed → litigation.</w:t>
      </w:r>
    </w:p>
    <w:p>
      <w:pPr>
        <w:pStyle w:val="ListParagraph"/>
        <w:numPr>
          <w:ilvl w:val="0"/>
          <w:numId w:val="2"/>
        </w:numPr>
        <w:spacing w:after="60"/>
      </w:pPr>
      <w:r>
        <w:t xml:space="preserve">Cons: complex, litigation risk, junior unsecured, often trade at discount.</w:t>
      </w:r>
    </w:p>
    <w:p>
      <w:pPr>
        <w:pStyle w:val="Heading1"/>
        <w:pageBreakBefore/>
      </w:pPr>
      <w:r>
        <w:t xml:space="preserve">Module 7 — Mergers &amp; Acquisitions (Summary)</w:t>
      </w:r>
    </w:p>
    <w:p>
      <w:pPr>
        <w:pBdr>
          <w:top w:val="single" w:color="1B5E20" w:sz="12"/>
        </w:pBdr>
        <w:shd w:fill="E2F0D9" w:val="clear"/>
        <w:spacing w:after="80" w:before="100"/>
      </w:pPr>
      <w:r>
        <w:rPr>
          <w:b/>
          <w:bCs/>
          <w:color w:val="1B5E20"/>
          <w:sz w:val="22"/>
          <w:szCs w:val="22"/>
        </w:rPr>
        <w:t xml:space="preserve">In one paragraph (for non-finance readers)</w:t>
      </w:r>
    </w:p>
    <w:p>
      <w:pPr>
        <w:spacing w:after="120"/>
      </w:pPr>
      <w:r>
        <w:t xml:space="preserve">M&amp;A is the business of buying, selling and combining companies. Every deal has four big design decisions: (1) cash or shares? — cash deals consume cash and lift leverage but preserve shareholding; share deals dilute existing holders but preserve balance sheet flexibility. (2) at what price? — the price must be justified by the present value of synergies (savings or revenue lifts that the combination creates), which typically must clear a 30%-ish premium over the target's standalone value. (3) how to structure the process? — bilateral negotiation (fast, confidential) or auction (more bidders, higher price). (4) what to do after closing? — Post-Merger Integration (PMI) is where most deals lose value, because combining cultures, systems, and product lines is messy. Public M&amp;A adds a layer of regulation (disclosure thresholds, mandatory bids, defensive tactics) that private deals don't face. The Smith &amp; Wesson worked case at the heart of the module shows you how to compute the structural impact of cash vs share offers on combined market cap, ownership, and leverage.</w:t>
      </w:r>
    </w:p>
    <w:p>
      <w:pPr>
        <w:spacing w:after="120"/>
      </w:pPr>
      <w:r>
        <w:t xml:space="preserve">8 hours. Prof. Marc Vermeulen. Focuses on executing M&amp;A transactions: structuring, negotiating, and post-merger integration.</w:t>
      </w:r>
    </w:p>
    <w:p>
      <w:pPr>
        <w:pStyle w:val="Heading2"/>
      </w:pPr>
      <w:r>
        <w:t xml:space="preserve">Definition &amp; market</w:t>
      </w:r>
    </w:p>
    <w:p>
      <w:pPr>
        <w:pStyle w:val="ListParagraph"/>
        <w:numPr>
          <w:ilvl w:val="0"/>
          <w:numId w:val="2"/>
        </w:numPr>
        <w:spacing w:after="60"/>
      </w:pPr>
      <w:r>
        <w:t xml:space="preserve">M&amp;A = acquisition/disposal/merger of controlling stake (or influential), via negotiation and documented agreements.</w:t>
      </w:r>
    </w:p>
    <w:p>
      <w:pPr>
        <w:pStyle w:val="ListParagraph"/>
        <w:numPr>
          <w:ilvl w:val="0"/>
          <w:numId w:val="2"/>
        </w:numPr>
        <w:spacing w:after="60"/>
      </w:pPr>
      <w:r>
        <w:t xml:space="preserve">NOT M&amp;A: ABBs (accelerated block-builds) even of sizable listed stakes.</w:t>
      </w:r>
    </w:p>
    <w:p>
      <w:pPr>
        <w:pStyle w:val="ListParagraph"/>
        <w:numPr>
          <w:ilvl w:val="0"/>
          <w:numId w:val="2"/>
        </w:numPr>
        <w:spacing w:after="60"/>
      </w:pPr>
      <w:r>
        <w:t xml:space="preserve">Geography: USA ~47%, APAC ~27%, EMEA ~26%.</w:t>
      </w:r>
    </w:p>
    <w:p>
      <w:pPr>
        <w:pStyle w:val="ListParagraph"/>
        <w:numPr>
          <w:ilvl w:val="0"/>
          <w:numId w:val="2"/>
        </w:numPr>
        <w:spacing w:after="60"/>
      </w:pPr>
      <w:r>
        <w:t xml:space="preserve">2025-26 recovery drivers: low prior-year flow, bullish markets, PE/LBO pickup, jumbo deals.</w:t>
      </w:r>
    </w:p>
    <w:p>
      <w:pPr>
        <w:pStyle w:val="Heading2"/>
      </w:pPr>
      <w:r>
        <w:t xml:space="preserve">Selling process</w:t>
      </w:r>
    </w:p>
    <w:p>
      <w:pPr>
        <w:spacing w:after="80"/>
      </w:pPr>
      <w:r>
        <w:rPr>
          <w:b/>
          <w:bCs/>
        </w:rPr>
        <w:t xml:space="preserve">Bilateral ("one-on-one"):</w:t>
      </w:r>
    </w:p>
    <w:p>
      <w:pPr>
        <w:pStyle w:val="ListParagraph"/>
        <w:numPr>
          <w:ilvl w:val="0"/>
          <w:numId w:val="2"/>
        </w:numPr>
        <w:spacing w:after="60"/>
      </w:pPr>
      <w:r>
        <w:t xml:space="preserve">Two parties. Steps: NDA → MOU/Term Sheet → Final agreement → Legal → Signing → Closing.</w:t>
      </w:r>
    </w:p>
    <w:p>
      <w:pPr>
        <w:pStyle w:val="ListParagraph"/>
        <w:numPr>
          <w:ilvl w:val="0"/>
          <w:numId w:val="2"/>
        </w:numPr>
        <w:spacing w:after="60"/>
      </w:pPr>
      <w:r>
        <w:t xml:space="preserve">Pros: speed, confidentiality. Cons: may miss best buyer/price.</w:t>
      </w:r>
    </w:p>
    <w:p>
      <w:pPr>
        <w:spacing w:after="80"/>
      </w:pPr>
      <w:r>
        <w:rPr>
          <w:b/>
          <w:bCs/>
        </w:rPr>
        <w:t xml:space="preserve">Auction:</w:t>
      </w:r>
    </w:p>
    <w:p>
      <w:pPr>
        <w:pStyle w:val="ListParagraph"/>
        <w:numPr>
          <w:ilvl w:val="0"/>
          <w:numId w:val="2"/>
        </w:numPr>
        <w:spacing w:after="60"/>
      </w:pPr>
      <w:r>
        <w:t xml:space="preserve">Many buyers, two rounds. Kick-off (D=0) → NBO (D+20) → BO (D+90) → Signing (~D+100).</w:t>
      </w:r>
    </w:p>
    <w:p>
      <w:pPr>
        <w:pStyle w:val="ListParagraph"/>
        <w:numPr>
          <w:ilvl w:val="0"/>
          <w:numId w:val="2"/>
        </w:numPr>
        <w:spacing w:after="60"/>
      </w:pPr>
      <w:r>
        <w:t xml:space="preserve">Documents: VDD, Teaser, NDA, Info Memo, NBO, Data room, BO, SPA.</w:t>
      </w:r>
    </w:p>
    <w:p>
      <w:pPr>
        <w:pStyle w:val="ListParagraph"/>
        <w:numPr>
          <w:ilvl w:val="0"/>
          <w:numId w:val="2"/>
        </w:numPr>
        <w:spacing w:after="60"/>
      </w:pPr>
      <w:r>
        <w:t xml:space="preserve">Pros: best buyer at best price. Cons: long, complex, confidentiality.</w:t>
      </w:r>
    </w:p>
    <w:p>
      <w:pPr>
        <w:spacing w:after="80"/>
      </w:pPr>
      <w:r>
        <w:rPr>
          <w:b/>
          <w:bCs/>
        </w:rPr>
        <w:t xml:space="preserve">Key players:</w:t>
      </w:r>
    </w:p>
    <w:p>
      <w:pPr>
        <w:pStyle w:val="ListParagraph"/>
        <w:numPr>
          <w:ilvl w:val="0"/>
          <w:numId w:val="2"/>
        </w:numPr>
        <w:spacing w:after="60"/>
      </w:pPr>
      <w:r>
        <w:t xml:space="preserve">Financial advisors (investment banks), legal advisors, auditors, strategy consultants, financing banks. Large deals: ~10 parties per side, 50 people in execution.</w:t>
      </w:r>
    </w:p>
    <w:p>
      <w:pPr>
        <w:pStyle w:val="Heading2"/>
      </w:pPr>
      <w:r>
        <w:t xml:space="preserve">Deal structuring — cash vs share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3120"/>
        <w:gridCol w:w="3120"/>
      </w:tblGrid>
      <w:tr>
        <w:tc>
          <w:tcPr>
            <w:tcW w:type="dxa" w:w="3120"/>
            <w:tcBorders>
              <w:top w:val="single" w:color="999999" w:sz="4"/>
              <w:left w:val="single" w:color="999999" w:sz="4"/>
              <w:bottom w:val="single" w:color="999999" w:sz="4"/>
              <w:right w:val="single" w:color="999999" w:sz="4"/>
            </w:tcBorders>
            <w:shd w:fill="1F4E79" w:val="clear"/>
            <w:tcMar>
              <w:top w:type="dxa" w:w="60"/>
              <w:left w:type="dxa" w:w="100"/>
              <w:bottom w:type="dxa" w:w="60"/>
              <w:right w:type="dxa" w:w="100"/>
            </w:tcMar>
          </w:tcPr>
          <w:p>
            <w:pPr>
              <w:spacing w:after="40"/>
            </w:pPr>
            <w:r>
              <w:rPr>
                <w:b/>
                <w:bCs/>
                <w:color w:val="FFFFFF"/>
                <w:sz w:val="20"/>
                <w:szCs w:val="20"/>
              </w:rPr>
              <w:t xml:space="preserve"/>
            </w:r>
          </w:p>
        </w:tc>
        <w:tc>
          <w:tcPr>
            <w:tcW w:type="dxa" w:w="3120"/>
            <w:tcBorders>
              <w:top w:val="single" w:color="999999" w:sz="4"/>
              <w:left w:val="single" w:color="999999" w:sz="4"/>
              <w:bottom w:val="single" w:color="999999" w:sz="4"/>
              <w:right w:val="single" w:color="999999" w:sz="4"/>
            </w:tcBorders>
            <w:shd w:fill="1F4E79" w:val="clear"/>
            <w:tcMar>
              <w:top w:type="dxa" w:w="60"/>
              <w:left w:type="dxa" w:w="100"/>
              <w:bottom w:type="dxa" w:w="60"/>
              <w:right w:type="dxa" w:w="100"/>
            </w:tcMar>
          </w:tcPr>
          <w:p>
            <w:pPr>
              <w:spacing w:after="40"/>
            </w:pPr>
            <w:r>
              <w:rPr>
                <w:b/>
                <w:bCs/>
                <w:color w:val="FFFFFF"/>
                <w:sz w:val="20"/>
                <w:szCs w:val="20"/>
              </w:rPr>
              <w:t xml:space="preserve">Cash deal (acquisition)</w:t>
            </w:r>
          </w:p>
        </w:tc>
        <w:tc>
          <w:tcPr>
            <w:tcW w:type="dxa" w:w="3120"/>
            <w:tcBorders>
              <w:top w:val="single" w:color="999999" w:sz="4"/>
              <w:left w:val="single" w:color="999999" w:sz="4"/>
              <w:bottom w:val="single" w:color="999999" w:sz="4"/>
              <w:right w:val="single" w:color="999999" w:sz="4"/>
            </w:tcBorders>
            <w:shd w:fill="1F4E79" w:val="clear"/>
            <w:tcMar>
              <w:top w:type="dxa" w:w="60"/>
              <w:left w:type="dxa" w:w="100"/>
              <w:bottom w:type="dxa" w:w="60"/>
              <w:right w:type="dxa" w:w="100"/>
            </w:tcMar>
          </w:tcPr>
          <w:p>
            <w:pPr>
              <w:spacing w:after="40"/>
            </w:pPr>
            <w:r>
              <w:rPr>
                <w:b/>
                <w:bCs/>
                <w:color w:val="FFFFFF"/>
                <w:sz w:val="20"/>
                <w:szCs w:val="20"/>
              </w:rPr>
              <w:t xml:space="preserve">Share deal (merger)</w:t>
            </w:r>
          </w:p>
        </w:tc>
      </w:tr>
      <w:tr>
        <w:tc>
          <w:tcPr>
            <w:tcW w:type="dxa" w:w="3120"/>
            <w:tcBorders>
              <w:top w:val="single" w:color="999999" w:sz="4"/>
              <w:left w:val="single" w:color="999999" w:sz="4"/>
              <w:bottom w:val="single" w:color="999999" w:sz="4"/>
              <w:right w:val="single" w:color="999999" w:sz="4"/>
            </w:tcBorders>
            <w:tcMar>
              <w:top w:type="dxa" w:w="60"/>
              <w:left w:type="dxa" w:w="100"/>
              <w:bottom w:type="dxa" w:w="60"/>
              <w:right w:type="dxa" w:w="100"/>
            </w:tcMar>
          </w:tcPr>
          <w:p>
            <w:pPr>
              <w:spacing w:after="40"/>
            </w:pPr>
            <w:r>
              <w:rPr>
                <w:b w:val="false"/>
                <w:bCs w:val="false"/>
                <w:color w:val="000000"/>
                <w:sz w:val="20"/>
                <w:szCs w:val="20"/>
              </w:rPr>
              <w:t xml:space="preserve">Consideration</w:t>
            </w:r>
          </w:p>
        </w:tc>
        <w:tc>
          <w:tcPr>
            <w:tcW w:type="dxa" w:w="3120"/>
            <w:tcBorders>
              <w:top w:val="single" w:color="999999" w:sz="4"/>
              <w:left w:val="single" w:color="999999" w:sz="4"/>
              <w:bottom w:val="single" w:color="999999" w:sz="4"/>
              <w:right w:val="single" w:color="999999" w:sz="4"/>
            </w:tcBorders>
            <w:tcMar>
              <w:top w:type="dxa" w:w="60"/>
              <w:left w:type="dxa" w:w="100"/>
              <w:bottom w:type="dxa" w:w="60"/>
              <w:right w:type="dxa" w:w="100"/>
            </w:tcMar>
          </w:tcPr>
          <w:p>
            <w:pPr>
              <w:spacing w:after="40"/>
            </w:pPr>
            <w:r>
              <w:rPr>
                <w:b w:val="false"/>
                <w:bCs w:val="false"/>
                <w:color w:val="000000"/>
                <w:sz w:val="20"/>
                <w:szCs w:val="20"/>
              </w:rPr>
              <w:t xml:space="preserve">Cash to seller</w:t>
            </w:r>
          </w:p>
        </w:tc>
        <w:tc>
          <w:tcPr>
            <w:tcW w:type="dxa" w:w="3120"/>
            <w:tcBorders>
              <w:top w:val="single" w:color="999999" w:sz="4"/>
              <w:left w:val="single" w:color="999999" w:sz="4"/>
              <w:bottom w:val="single" w:color="999999" w:sz="4"/>
              <w:right w:val="single" w:color="999999" w:sz="4"/>
            </w:tcBorders>
            <w:tcMar>
              <w:top w:type="dxa" w:w="60"/>
              <w:left w:type="dxa" w:w="100"/>
              <w:bottom w:type="dxa" w:w="60"/>
              <w:right w:type="dxa" w:w="100"/>
            </w:tcMar>
          </w:tcPr>
          <w:p>
            <w:pPr>
              <w:spacing w:after="40"/>
            </w:pPr>
            <w:r>
              <w:rPr>
                <w:b w:val="false"/>
                <w:bCs w:val="false"/>
                <w:color w:val="000000"/>
                <w:sz w:val="20"/>
                <w:szCs w:val="20"/>
              </w:rPr>
              <w:t xml:space="preserve">Acquirer shares</w:t>
            </w:r>
          </w:p>
        </w:tc>
      </w:tr>
      <w:tr>
        <w:tc>
          <w:tcPr>
            <w:tcW w:type="dxa" w:w="3120"/>
            <w:tcBorders>
              <w:top w:val="single" w:color="999999" w:sz="4"/>
              <w:left w:val="single" w:color="999999" w:sz="4"/>
              <w:bottom w:val="single" w:color="999999" w:sz="4"/>
              <w:right w:val="single" w:color="999999" w:sz="4"/>
            </w:tcBorders>
            <w:tcMar>
              <w:top w:type="dxa" w:w="60"/>
              <w:left w:type="dxa" w:w="100"/>
              <w:bottom w:type="dxa" w:w="60"/>
              <w:right w:type="dxa" w:w="100"/>
            </w:tcMar>
          </w:tcPr>
          <w:p>
            <w:pPr>
              <w:spacing w:after="40"/>
            </w:pPr>
            <w:r>
              <w:rPr>
                <w:b w:val="false"/>
                <w:bCs w:val="false"/>
                <w:color w:val="000000"/>
                <w:sz w:val="20"/>
                <w:szCs w:val="20"/>
              </w:rPr>
              <w:t xml:space="preserve">Valuation focus</w:t>
            </w:r>
          </w:p>
        </w:tc>
        <w:tc>
          <w:tcPr>
            <w:tcW w:type="dxa" w:w="3120"/>
            <w:tcBorders>
              <w:top w:val="single" w:color="999999" w:sz="4"/>
              <w:left w:val="single" w:color="999999" w:sz="4"/>
              <w:bottom w:val="single" w:color="999999" w:sz="4"/>
              <w:right w:val="single" w:color="999999" w:sz="4"/>
            </w:tcBorders>
            <w:tcMar>
              <w:top w:type="dxa" w:w="60"/>
              <w:left w:type="dxa" w:w="100"/>
              <w:bottom w:type="dxa" w:w="60"/>
              <w:right w:type="dxa" w:w="100"/>
            </w:tcMar>
          </w:tcPr>
          <w:p>
            <w:pPr>
              <w:spacing w:after="40"/>
            </w:pPr>
            <w:r>
              <w:rPr>
                <w:b w:val="false"/>
                <w:bCs w:val="false"/>
                <w:color w:val="000000"/>
                <w:sz w:val="20"/>
                <w:szCs w:val="20"/>
              </w:rPr>
              <w:t xml:space="preserve">Target stand-alone</w:t>
            </w:r>
          </w:p>
        </w:tc>
        <w:tc>
          <w:tcPr>
            <w:tcW w:type="dxa" w:w="3120"/>
            <w:tcBorders>
              <w:top w:val="single" w:color="999999" w:sz="4"/>
              <w:left w:val="single" w:color="999999" w:sz="4"/>
              <w:bottom w:val="single" w:color="999999" w:sz="4"/>
              <w:right w:val="single" w:color="999999" w:sz="4"/>
            </w:tcBorders>
            <w:tcMar>
              <w:top w:type="dxa" w:w="60"/>
              <w:left w:type="dxa" w:w="100"/>
              <w:bottom w:type="dxa" w:w="60"/>
              <w:right w:type="dxa" w:w="100"/>
            </w:tcMar>
          </w:tcPr>
          <w:p>
            <w:pPr>
              <w:spacing w:after="40"/>
            </w:pPr>
            <w:r>
              <w:rPr>
                <w:b w:val="false"/>
                <w:bCs w:val="false"/>
                <w:color w:val="000000"/>
                <w:sz w:val="20"/>
                <w:szCs w:val="20"/>
              </w:rPr>
              <w:t xml:space="preserve">Exchange ratio (X-for-Y)</w:t>
            </w:r>
          </w:p>
        </w:tc>
      </w:tr>
      <w:tr>
        <w:tc>
          <w:tcPr>
            <w:tcW w:type="dxa" w:w="3120"/>
            <w:tcBorders>
              <w:top w:val="single" w:color="999999" w:sz="4"/>
              <w:left w:val="single" w:color="999999" w:sz="4"/>
              <w:bottom w:val="single" w:color="999999" w:sz="4"/>
              <w:right w:val="single" w:color="999999" w:sz="4"/>
            </w:tcBorders>
            <w:tcMar>
              <w:top w:type="dxa" w:w="60"/>
              <w:left w:type="dxa" w:w="100"/>
              <w:bottom w:type="dxa" w:w="60"/>
              <w:right w:type="dxa" w:w="100"/>
            </w:tcMar>
          </w:tcPr>
          <w:p>
            <w:pPr>
              <w:spacing w:after="40"/>
            </w:pPr>
            <w:r>
              <w:rPr>
                <w:b w:val="false"/>
                <w:bCs w:val="false"/>
                <w:color w:val="000000"/>
                <w:sz w:val="20"/>
                <w:szCs w:val="20"/>
              </w:rPr>
              <w:t xml:space="preserve">Seller tax</w:t>
            </w:r>
          </w:p>
        </w:tc>
        <w:tc>
          <w:tcPr>
            <w:tcW w:type="dxa" w:w="3120"/>
            <w:tcBorders>
              <w:top w:val="single" w:color="999999" w:sz="4"/>
              <w:left w:val="single" w:color="999999" w:sz="4"/>
              <w:bottom w:val="single" w:color="999999" w:sz="4"/>
              <w:right w:val="single" w:color="999999" w:sz="4"/>
            </w:tcBorders>
            <w:tcMar>
              <w:top w:type="dxa" w:w="60"/>
              <w:left w:type="dxa" w:w="100"/>
              <w:bottom w:type="dxa" w:w="60"/>
              <w:right w:type="dxa" w:w="100"/>
            </w:tcMar>
          </w:tcPr>
          <w:p>
            <w:pPr>
              <w:spacing w:after="40"/>
            </w:pPr>
            <w:r>
              <w:rPr>
                <w:b w:val="false"/>
                <w:bCs w:val="false"/>
                <w:color w:val="000000"/>
                <w:sz w:val="20"/>
                <w:szCs w:val="20"/>
              </w:rPr>
              <w:t xml:space="preserve">Usually taxable</w:t>
            </w:r>
          </w:p>
        </w:tc>
        <w:tc>
          <w:tcPr>
            <w:tcW w:type="dxa" w:w="3120"/>
            <w:tcBorders>
              <w:top w:val="single" w:color="999999" w:sz="4"/>
              <w:left w:val="single" w:color="999999" w:sz="4"/>
              <w:bottom w:val="single" w:color="999999" w:sz="4"/>
              <w:right w:val="single" w:color="999999" w:sz="4"/>
            </w:tcBorders>
            <w:tcMar>
              <w:top w:type="dxa" w:w="60"/>
              <w:left w:type="dxa" w:w="100"/>
              <w:bottom w:type="dxa" w:w="60"/>
              <w:right w:type="dxa" w:w="100"/>
            </w:tcMar>
          </w:tcPr>
          <w:p>
            <w:pPr>
              <w:spacing w:after="40"/>
            </w:pPr>
            <w:r>
              <w:rPr>
                <w:b w:val="false"/>
                <w:bCs w:val="false"/>
                <w:color w:val="000000"/>
                <w:sz w:val="20"/>
                <w:szCs w:val="20"/>
              </w:rPr>
              <w:t xml:space="preserve">Usually tax-neutral</w:t>
            </w:r>
          </w:p>
        </w:tc>
      </w:tr>
      <w:tr>
        <w:tc>
          <w:tcPr>
            <w:tcW w:type="dxa" w:w="3120"/>
            <w:tcBorders>
              <w:top w:val="single" w:color="999999" w:sz="4"/>
              <w:left w:val="single" w:color="999999" w:sz="4"/>
              <w:bottom w:val="single" w:color="999999" w:sz="4"/>
              <w:right w:val="single" w:color="999999" w:sz="4"/>
            </w:tcBorders>
            <w:tcMar>
              <w:top w:type="dxa" w:w="60"/>
              <w:left w:type="dxa" w:w="100"/>
              <w:bottom w:type="dxa" w:w="60"/>
              <w:right w:type="dxa" w:w="100"/>
            </w:tcMar>
          </w:tcPr>
          <w:p>
            <w:pPr>
              <w:spacing w:after="40"/>
            </w:pPr>
            <w:r>
              <w:rPr>
                <w:b w:val="false"/>
                <w:bCs w:val="false"/>
                <w:color w:val="000000"/>
                <w:sz w:val="20"/>
                <w:szCs w:val="20"/>
              </w:rPr>
              <w:t xml:space="preserve">Acquirer market cap</w:t>
            </w:r>
          </w:p>
        </w:tc>
        <w:tc>
          <w:tcPr>
            <w:tcW w:type="dxa" w:w="3120"/>
            <w:tcBorders>
              <w:top w:val="single" w:color="999999" w:sz="4"/>
              <w:left w:val="single" w:color="999999" w:sz="4"/>
              <w:bottom w:val="single" w:color="999999" w:sz="4"/>
              <w:right w:val="single" w:color="999999" w:sz="4"/>
            </w:tcBorders>
            <w:tcMar>
              <w:top w:type="dxa" w:w="60"/>
              <w:left w:type="dxa" w:w="100"/>
              <w:bottom w:type="dxa" w:w="60"/>
              <w:right w:type="dxa" w:w="100"/>
            </w:tcMar>
          </w:tcPr>
          <w:p>
            <w:pPr>
              <w:spacing w:after="40"/>
            </w:pPr>
            <w:r>
              <w:rPr>
                <w:b w:val="false"/>
                <w:bCs w:val="false"/>
                <w:color w:val="000000"/>
                <w:sz w:val="20"/>
                <w:szCs w:val="20"/>
              </w:rPr>
              <w:t xml:space="preserve">Unchanged</w:t>
            </w:r>
          </w:p>
        </w:tc>
        <w:tc>
          <w:tcPr>
            <w:tcW w:type="dxa" w:w="3120"/>
            <w:tcBorders>
              <w:top w:val="single" w:color="999999" w:sz="4"/>
              <w:left w:val="single" w:color="999999" w:sz="4"/>
              <w:bottom w:val="single" w:color="999999" w:sz="4"/>
              <w:right w:val="single" w:color="999999" w:sz="4"/>
            </w:tcBorders>
            <w:tcMar>
              <w:top w:type="dxa" w:w="60"/>
              <w:left w:type="dxa" w:w="100"/>
              <w:bottom w:type="dxa" w:w="60"/>
              <w:right w:type="dxa" w:w="100"/>
            </w:tcMar>
          </w:tcPr>
          <w:p>
            <w:pPr>
              <w:spacing w:after="40"/>
            </w:pPr>
            <w:r>
              <w:rPr>
                <w:b w:val="false"/>
                <w:bCs w:val="false"/>
                <w:color w:val="000000"/>
                <w:sz w:val="20"/>
                <w:szCs w:val="20"/>
              </w:rPr>
              <w:t xml:space="preserve">Increases (MC_A + MC_T)</w:t>
            </w:r>
          </w:p>
        </w:tc>
      </w:tr>
      <w:tr>
        <w:tc>
          <w:tcPr>
            <w:tcW w:type="dxa" w:w="3120"/>
            <w:tcBorders>
              <w:top w:val="single" w:color="999999" w:sz="4"/>
              <w:left w:val="single" w:color="999999" w:sz="4"/>
              <w:bottom w:val="single" w:color="999999" w:sz="4"/>
              <w:right w:val="single" w:color="999999" w:sz="4"/>
            </w:tcBorders>
            <w:tcMar>
              <w:top w:type="dxa" w:w="60"/>
              <w:left w:type="dxa" w:w="100"/>
              <w:bottom w:type="dxa" w:w="60"/>
              <w:right w:type="dxa" w:w="100"/>
            </w:tcMar>
          </w:tcPr>
          <w:p>
            <w:pPr>
              <w:spacing w:after="40"/>
            </w:pPr>
            <w:r>
              <w:rPr>
                <w:b w:val="false"/>
                <w:bCs w:val="false"/>
                <w:color w:val="000000"/>
                <w:sz w:val="20"/>
                <w:szCs w:val="20"/>
              </w:rPr>
              <w:t xml:space="preserve">Acquirer shareholding</w:t>
            </w:r>
          </w:p>
        </w:tc>
        <w:tc>
          <w:tcPr>
            <w:tcW w:type="dxa" w:w="3120"/>
            <w:tcBorders>
              <w:top w:val="single" w:color="999999" w:sz="4"/>
              <w:left w:val="single" w:color="999999" w:sz="4"/>
              <w:bottom w:val="single" w:color="999999" w:sz="4"/>
              <w:right w:val="single" w:color="999999" w:sz="4"/>
            </w:tcBorders>
            <w:tcMar>
              <w:top w:type="dxa" w:w="60"/>
              <w:left w:type="dxa" w:w="100"/>
              <w:bottom w:type="dxa" w:w="60"/>
              <w:right w:type="dxa" w:w="100"/>
            </w:tcMar>
          </w:tcPr>
          <w:p>
            <w:pPr>
              <w:spacing w:after="40"/>
            </w:pPr>
            <w:r>
              <w:rPr>
                <w:b w:val="false"/>
                <w:bCs w:val="false"/>
                <w:color w:val="000000"/>
                <w:sz w:val="20"/>
                <w:szCs w:val="20"/>
              </w:rPr>
              <w:t xml:space="preserve">Unchanged</w:t>
            </w:r>
          </w:p>
        </w:tc>
        <w:tc>
          <w:tcPr>
            <w:tcW w:type="dxa" w:w="3120"/>
            <w:tcBorders>
              <w:top w:val="single" w:color="999999" w:sz="4"/>
              <w:left w:val="single" w:color="999999" w:sz="4"/>
              <w:bottom w:val="single" w:color="999999" w:sz="4"/>
              <w:right w:val="single" w:color="999999" w:sz="4"/>
            </w:tcBorders>
            <w:tcMar>
              <w:top w:type="dxa" w:w="60"/>
              <w:left w:type="dxa" w:w="100"/>
              <w:bottom w:type="dxa" w:w="60"/>
              <w:right w:type="dxa" w:w="100"/>
            </w:tcMar>
          </w:tcPr>
          <w:p>
            <w:pPr>
              <w:spacing w:after="40"/>
            </w:pPr>
            <w:r>
              <w:rPr>
                <w:b w:val="false"/>
                <w:bCs w:val="false"/>
                <w:color w:val="000000"/>
                <w:sz w:val="20"/>
                <w:szCs w:val="20"/>
              </w:rPr>
              <w:t xml:space="preserve">New shareholders join</w:t>
            </w:r>
          </w:p>
        </w:tc>
      </w:tr>
      <w:tr>
        <w:tc>
          <w:tcPr>
            <w:tcW w:type="dxa" w:w="3120"/>
            <w:tcBorders>
              <w:top w:val="single" w:color="999999" w:sz="4"/>
              <w:left w:val="single" w:color="999999" w:sz="4"/>
              <w:bottom w:val="single" w:color="999999" w:sz="4"/>
              <w:right w:val="single" w:color="999999" w:sz="4"/>
            </w:tcBorders>
            <w:tcMar>
              <w:top w:type="dxa" w:w="60"/>
              <w:left w:type="dxa" w:w="100"/>
              <w:bottom w:type="dxa" w:w="60"/>
              <w:right w:type="dxa" w:w="100"/>
            </w:tcMar>
          </w:tcPr>
          <w:p>
            <w:pPr>
              <w:spacing w:after="40"/>
            </w:pPr>
            <w:r>
              <w:rPr>
                <w:b w:val="false"/>
                <w:bCs w:val="false"/>
                <w:color w:val="000000"/>
                <w:sz w:val="20"/>
                <w:szCs w:val="20"/>
              </w:rPr>
              <w:t xml:space="preserve">Net debt</w:t>
            </w:r>
          </w:p>
        </w:tc>
        <w:tc>
          <w:tcPr>
            <w:tcW w:type="dxa" w:w="3120"/>
            <w:tcBorders>
              <w:top w:val="single" w:color="999999" w:sz="4"/>
              <w:left w:val="single" w:color="999999" w:sz="4"/>
              <w:bottom w:val="single" w:color="999999" w:sz="4"/>
              <w:right w:val="single" w:color="999999" w:sz="4"/>
            </w:tcBorders>
            <w:tcMar>
              <w:top w:type="dxa" w:w="60"/>
              <w:left w:type="dxa" w:w="100"/>
              <w:bottom w:type="dxa" w:w="60"/>
              <w:right w:type="dxa" w:w="100"/>
            </w:tcMar>
          </w:tcPr>
          <w:p>
            <w:pPr>
              <w:spacing w:after="40"/>
            </w:pPr>
            <w:r>
              <w:rPr>
                <w:b w:val="false"/>
                <w:bCs w:val="false"/>
                <w:color w:val="000000"/>
                <w:sz w:val="20"/>
                <w:szCs w:val="20"/>
              </w:rPr>
              <w:t xml:space="preserve">Increases (combined + cash)</w:t>
            </w:r>
          </w:p>
        </w:tc>
        <w:tc>
          <w:tcPr>
            <w:tcW w:type="dxa" w:w="3120"/>
            <w:tcBorders>
              <w:top w:val="single" w:color="999999" w:sz="4"/>
              <w:left w:val="single" w:color="999999" w:sz="4"/>
              <w:bottom w:val="single" w:color="999999" w:sz="4"/>
              <w:right w:val="single" w:color="999999" w:sz="4"/>
            </w:tcBorders>
            <w:tcMar>
              <w:top w:type="dxa" w:w="60"/>
              <w:left w:type="dxa" w:w="100"/>
              <w:bottom w:type="dxa" w:w="60"/>
              <w:right w:type="dxa" w:w="100"/>
            </w:tcMar>
          </w:tcPr>
          <w:p>
            <w:pPr>
              <w:spacing w:after="40"/>
            </w:pPr>
            <w:r>
              <w:rPr>
                <w:b w:val="false"/>
                <w:bCs w:val="false"/>
                <w:color w:val="000000"/>
                <w:sz w:val="20"/>
                <w:szCs w:val="20"/>
              </w:rPr>
              <w:t xml:space="preserve">Unchanged from sum</w:t>
            </w:r>
          </w:p>
        </w:tc>
      </w:tr>
      <w:tr>
        <w:tc>
          <w:tcPr>
            <w:tcW w:type="dxa" w:w="3120"/>
            <w:tcBorders>
              <w:top w:val="single" w:color="999999" w:sz="4"/>
              <w:left w:val="single" w:color="999999" w:sz="4"/>
              <w:bottom w:val="single" w:color="999999" w:sz="4"/>
              <w:right w:val="single" w:color="999999" w:sz="4"/>
            </w:tcBorders>
            <w:tcMar>
              <w:top w:type="dxa" w:w="60"/>
              <w:left w:type="dxa" w:w="100"/>
              <w:bottom w:type="dxa" w:w="60"/>
              <w:right w:type="dxa" w:w="100"/>
            </w:tcMar>
          </w:tcPr>
          <w:p>
            <w:pPr>
              <w:spacing w:after="40"/>
            </w:pPr>
            <w:r>
              <w:rPr>
                <w:b w:val="false"/>
                <w:bCs w:val="false"/>
                <w:color w:val="000000"/>
                <w:sz w:val="20"/>
                <w:szCs w:val="20"/>
              </w:rPr>
              <w:t xml:space="preserve">Typical use</w:t>
            </w:r>
          </w:p>
        </w:tc>
        <w:tc>
          <w:tcPr>
            <w:tcW w:type="dxa" w:w="3120"/>
            <w:tcBorders>
              <w:top w:val="single" w:color="999999" w:sz="4"/>
              <w:left w:val="single" w:color="999999" w:sz="4"/>
              <w:bottom w:val="single" w:color="999999" w:sz="4"/>
              <w:right w:val="single" w:color="999999" w:sz="4"/>
            </w:tcBorders>
            <w:tcMar>
              <w:top w:type="dxa" w:w="60"/>
              <w:left w:type="dxa" w:w="100"/>
              <w:bottom w:type="dxa" w:w="60"/>
              <w:right w:type="dxa" w:w="100"/>
            </w:tcMar>
          </w:tcPr>
          <w:p>
            <w:pPr>
              <w:spacing w:after="40"/>
            </w:pPr>
            <w:r>
              <w:rPr>
                <w:b w:val="false"/>
                <w:bCs w:val="false"/>
                <w:color w:val="000000"/>
                <w:sz w:val="20"/>
                <w:szCs w:val="20"/>
              </w:rPr>
              <w:t xml:space="preserve">Mid-cap, build-ups</w:t>
            </w:r>
          </w:p>
        </w:tc>
        <w:tc>
          <w:tcPr>
            <w:tcW w:type="dxa" w:w="3120"/>
            <w:tcBorders>
              <w:top w:val="single" w:color="999999" w:sz="4"/>
              <w:left w:val="single" w:color="999999" w:sz="4"/>
              <w:bottom w:val="single" w:color="999999" w:sz="4"/>
              <w:right w:val="single" w:color="999999" w:sz="4"/>
            </w:tcBorders>
            <w:tcMar>
              <w:top w:type="dxa" w:w="60"/>
              <w:left w:type="dxa" w:w="100"/>
              <w:bottom w:type="dxa" w:w="60"/>
              <w:right w:type="dxa" w:w="100"/>
            </w:tcMar>
          </w:tcPr>
          <w:p>
            <w:pPr>
              <w:spacing w:after="40"/>
            </w:pPr>
            <w:r>
              <w:rPr>
                <w:b w:val="false"/>
                <w:bCs w:val="false"/>
                <w:color w:val="000000"/>
                <w:sz w:val="20"/>
                <w:szCs w:val="20"/>
              </w:rPr>
              <w:t xml:space="preserve">Jumbo, public M&amp;A</w:t>
            </w:r>
          </w:p>
        </w:tc>
      </w:tr>
    </w:tbl>
    <w:p>
      <w:pPr>
        <w:spacing w:after="120"/>
      </w:pPr>
      <w:r>
        <w:t xml:space="preserve"/>
      </w:r>
    </w:p>
    <w:p>
      <w:pPr>
        <w:pStyle w:val="ListParagraph"/>
        <w:numPr>
          <w:ilvl w:val="0"/>
          <w:numId w:val="2"/>
        </w:numPr>
        <w:spacing w:after="60"/>
      </w:pPr>
      <w:r>
        <w:t xml:space="preserve">EPS accretion (share deal): if P/E_acquirer &gt; P/E_target (premium-adjusted).</w:t>
      </w:r>
    </w:p>
    <w:p>
      <w:pPr>
        <w:pStyle w:val="ListParagraph"/>
        <w:numPr>
          <w:ilvl w:val="0"/>
          <w:numId w:val="2"/>
        </w:numPr>
        <w:spacing w:after="60"/>
      </w:pPr>
      <w:r>
        <w:t xml:space="preserve">EPS accretion (cash deal): if 1/P/E_target &gt; after-tax cost of debt.</w:t>
      </w:r>
    </w:p>
    <w:p>
      <w:pPr>
        <w:pStyle w:val="ListParagraph"/>
        <w:numPr>
          <w:ilvl w:val="0"/>
          <w:numId w:val="2"/>
        </w:numPr>
        <w:spacing w:after="60"/>
      </w:pPr>
      <w:r>
        <w:t xml:space="preserve">Synergies: PV of future synergies must ≥ premium paid (~30% in Europe). Otherwise acquirer stock drops.</w:t>
      </w:r>
    </w:p>
    <w:p>
      <w:pPr>
        <w:pStyle w:val="Heading2"/>
      </w:pPr>
      <w:r>
        <w:t xml:space="preserve">Smith &amp; Wesson recap</w:t>
      </w:r>
    </w:p>
    <w:p>
      <w:pPr>
        <w:pStyle w:val="ListParagraph"/>
        <w:numPr>
          <w:ilvl w:val="0"/>
          <w:numId w:val="2"/>
        </w:numPr>
        <w:spacing w:after="60"/>
      </w:pPr>
      <w:r>
        <w:t xml:space="preserve">Cash deal: Mrs Smith keeps 25%; combined MC = $1bn; ND/EBITDA = 3.56× (high).</w:t>
      </w:r>
    </w:p>
    <w:p>
      <w:pPr>
        <w:pStyle w:val="ListParagraph"/>
        <w:numPr>
          <w:ilvl w:val="0"/>
          <w:numId w:val="2"/>
        </w:numPr>
        <w:spacing w:after="60"/>
      </w:pPr>
      <w:r>
        <w:t xml:space="preserve">Share deal: Mrs Smith dilutes to 16.7%; combined MC = $1.5bn; ND/EBITDA = 0.44×.</w:t>
      </w:r>
    </w:p>
    <w:p>
      <w:pPr>
        <w:pStyle w:val="ListParagraph"/>
        <w:numPr>
          <w:ilvl w:val="0"/>
          <w:numId w:val="2"/>
        </w:numPr>
        <w:spacing w:after="60"/>
      </w:pPr>
      <w:r>
        <w:t xml:space="preserve">Share deal also accretive (P/E_S 20× &gt; P/E_W 12.5×). Trade-off: control vs leverage.</w:t>
      </w:r>
    </w:p>
    <w:p>
      <w:pPr>
        <w:pStyle w:val="Heading2"/>
      </w:pPr>
      <w:r>
        <w:t xml:space="preserve">Execution drivers</w:t>
      </w:r>
    </w:p>
    <w:p>
      <w:pPr>
        <w:spacing w:after="80"/>
      </w:pPr>
      <w:r>
        <w:rPr>
          <w:b/>
          <w:bCs/>
        </w:rPr>
        <w:t xml:space="preserve">EV-Equity bridge items:</w:t>
      </w:r>
    </w:p>
    <w:p>
      <w:pPr>
        <w:pStyle w:val="ListParagraph"/>
        <w:numPr>
          <w:ilvl w:val="0"/>
          <w:numId w:val="2"/>
        </w:numPr>
        <w:spacing w:after="60"/>
      </w:pPr>
      <w:r>
        <w:t xml:space="preserve">Net financial debt (gross debt − cash, watch trapped cash, leasing).</w:t>
      </w:r>
    </w:p>
    <w:p>
      <w:pPr>
        <w:pStyle w:val="ListParagraph"/>
        <w:numPr>
          <w:ilvl w:val="0"/>
          <w:numId w:val="2"/>
        </w:numPr>
        <w:spacing w:after="60"/>
      </w:pPr>
      <w:r>
        <w:t xml:space="preserve">Working capital adjustment (yearly avg or normative).</w:t>
      </w:r>
    </w:p>
    <w:p>
      <w:pPr>
        <w:pStyle w:val="ListParagraph"/>
        <w:numPr>
          <w:ilvl w:val="0"/>
          <w:numId w:val="2"/>
        </w:numPr>
        <w:spacing w:after="60"/>
      </w:pPr>
      <w:r>
        <w:t xml:space="preserve">Minority interests.</w:t>
      </w:r>
    </w:p>
    <w:p>
      <w:pPr>
        <w:pStyle w:val="ListParagraph"/>
        <w:numPr>
          <w:ilvl w:val="0"/>
          <w:numId w:val="2"/>
        </w:numPr>
        <w:spacing w:after="60"/>
      </w:pPr>
      <w:r>
        <w:t xml:space="preserve">Off-balance-sheet commitments.</w:t>
      </w:r>
    </w:p>
    <w:p>
      <w:pPr>
        <w:pStyle w:val="ListParagraph"/>
        <w:numPr>
          <w:ilvl w:val="0"/>
          <w:numId w:val="2"/>
        </w:numPr>
        <w:spacing w:after="60"/>
      </w:pPr>
      <w:r>
        <w:t xml:space="preserve">Pensions and employee benefits (actuarial PV).</w:t>
      </w:r>
    </w:p>
    <w:p>
      <w:pPr>
        <w:pStyle w:val="ListParagraph"/>
        <w:numPr>
          <w:ilvl w:val="0"/>
          <w:numId w:val="2"/>
        </w:numPr>
        <w:spacing w:after="60"/>
      </w:pPr>
      <w:r>
        <w:t xml:space="preserve">Provisions (tax, restructuring, decommissioning).</w:t>
      </w:r>
    </w:p>
    <w:p>
      <w:pPr>
        <w:spacing w:after="80"/>
      </w:pPr>
      <w:r>
        <w:rPr>
          <w:b/>
          <w:bCs/>
        </w:rPr>
        <w:t xml:space="preserve">Locked box vs completion accounts:</w:t>
      </w:r>
    </w:p>
    <w:p>
      <w:pPr>
        <w:pStyle w:val="ListParagraph"/>
        <w:numPr>
          <w:ilvl w:val="0"/>
          <w:numId w:val="2"/>
        </w:numPr>
        <w:spacing w:after="60"/>
      </w:pPr>
      <w:r>
        <w:t xml:space="preserve">Locked box: price fixed at signing using prior accounts. Faster. Popular in Europe.</w:t>
      </w:r>
    </w:p>
    <w:p>
      <w:pPr>
        <w:pStyle w:val="ListParagraph"/>
        <w:numPr>
          <w:ilvl w:val="0"/>
          <w:numId w:val="2"/>
        </w:numPr>
        <w:spacing w:after="60"/>
      </w:pPr>
      <w:r>
        <w:t xml:space="preserve">Completion accounts: price adjusted at/post-closing using updated audited accounts. Systematic in US.</w:t>
      </w:r>
    </w:p>
    <w:p>
      <w:pPr>
        <w:spacing w:after="80"/>
      </w:pPr>
      <w:r>
        <w:rPr>
          <w:b/>
          <w:bCs/>
        </w:rPr>
        <w:t xml:space="preserve">Tools:</w:t>
      </w:r>
    </w:p>
    <w:p>
      <w:pPr>
        <w:pStyle w:val="ListParagraph"/>
        <w:numPr>
          <w:ilvl w:val="0"/>
          <w:numId w:val="2"/>
        </w:numPr>
        <w:spacing w:after="60"/>
      </w:pPr>
      <w:r>
        <w:t xml:space="preserve">Vendor loan (deferred), earn-out, prudent manner clause, MAC clauses, exclusivity, reps &amp; warranties (incl. insurance).</w:t>
      </w:r>
    </w:p>
    <w:p>
      <w:pPr>
        <w:spacing w:after="80"/>
      </w:pPr>
      <w:r>
        <w:rPr>
          <w:b/>
          <w:bCs/>
        </w:rPr>
        <w:t xml:space="preserve">Due diligence types:</w:t>
      </w:r>
    </w:p>
    <w:p>
      <w:pPr>
        <w:pStyle w:val="ListParagraph"/>
        <w:numPr>
          <w:ilvl w:val="0"/>
          <w:numId w:val="2"/>
        </w:numPr>
        <w:spacing w:after="60"/>
      </w:pPr>
      <w:r>
        <w:t xml:space="preserve">Strategic (Bain etc.), Financial (Big 4 + 8Advisory), Legal, Industrial/HR/ESG.</w:t>
      </w:r>
    </w:p>
    <w:p>
      <w:pPr>
        <w:pStyle w:val="Heading2"/>
      </w:pPr>
      <w:r>
        <w:t xml:space="preserve">Public M&amp;A</w:t>
      </w:r>
    </w:p>
    <w:p>
      <w:pPr>
        <w:pStyle w:val="ListParagraph"/>
        <w:numPr>
          <w:ilvl w:val="0"/>
          <w:numId w:val="2"/>
        </w:numPr>
        <w:spacing w:after="60"/>
      </w:pPr>
      <w:r>
        <w:t xml:space="preserve">Building stake on market is impractical (volume, price, discretion).</w:t>
      </w:r>
    </w:p>
    <w:p>
      <w:pPr>
        <w:pStyle w:val="ListParagraph"/>
        <w:numPr>
          <w:ilvl w:val="0"/>
          <w:numId w:val="2"/>
        </w:numPr>
        <w:spacing w:after="60"/>
      </w:pPr>
      <w:r>
        <w:t xml:space="preserve">Disclosure thresholds (France: 5,10,15,20,25,30,33.3,50,66.6,90,95%; UK: 3% + multiples of 1%).</w:t>
      </w:r>
    </w:p>
    <w:p>
      <w:pPr>
        <w:pStyle w:val="ListParagraph"/>
        <w:numPr>
          <w:ilvl w:val="0"/>
          <w:numId w:val="2"/>
        </w:numPr>
        <w:spacing w:after="60"/>
      </w:pPr>
      <w:r>
        <w:t xml:space="preserve">Mandatory offer at threshold (~30% in France) in most countries except US.</w:t>
      </w:r>
    </w:p>
    <w:p>
      <w:pPr>
        <w:spacing w:after="80"/>
      </w:pPr>
      <w:r>
        <w:rPr>
          <w:b/>
          <w:bCs/>
        </w:rPr>
        <w:t xml:space="preserve">Offer types:</w:t>
      </w:r>
    </w:p>
    <w:p>
      <w:pPr>
        <w:pStyle w:val="ListParagraph"/>
        <w:numPr>
          <w:ilvl w:val="0"/>
          <w:numId w:val="2"/>
        </w:numPr>
        <w:spacing w:after="60"/>
      </w:pPr>
      <w:r>
        <w:t xml:space="preserve">OPA (cash) — acquisition spirit; avoids dilution but lifts leverage.</w:t>
      </w:r>
    </w:p>
    <w:p>
      <w:pPr>
        <w:pStyle w:val="ListParagraph"/>
        <w:numPr>
          <w:ilvl w:val="0"/>
          <w:numId w:val="2"/>
        </w:numPr>
        <w:spacing w:after="60"/>
      </w:pPr>
      <w:r>
        <w:t xml:space="preserve">OPE (share) — merger spirit; preserves leverage but dilutes.</w:t>
      </w:r>
    </w:p>
    <w:p>
      <w:pPr>
        <w:pStyle w:val="ListParagraph"/>
        <w:numPr>
          <w:ilvl w:val="0"/>
          <w:numId w:val="2"/>
        </w:numPr>
        <w:spacing w:after="60"/>
      </w:pPr>
      <w:r>
        <w:t xml:space="preserve">Mixed — combination.</w:t>
      </w:r>
    </w:p>
    <w:p>
      <w:pPr>
        <w:spacing w:after="80"/>
      </w:pPr>
      <w:r>
        <w:rPr>
          <w:b/>
          <w:bCs/>
        </w:rPr>
        <w:t xml:space="preserve">Friendly vs hostile:</w:t>
      </w:r>
    </w:p>
    <w:p>
      <w:pPr>
        <w:pStyle w:val="ListParagraph"/>
        <w:numPr>
          <w:ilvl w:val="0"/>
          <w:numId w:val="2"/>
        </w:numPr>
        <w:spacing w:after="60"/>
      </w:pPr>
      <w:r>
        <w:t xml:space="preserve">Hostile: shorter prep, longer offer period, higher premium, more 3rd-party interference, buyer dominates PMI.</w:t>
      </w:r>
    </w:p>
    <w:p>
      <w:pPr>
        <w:spacing w:after="80"/>
      </w:pPr>
      <w:r>
        <w:rPr>
          <w:b/>
          <w:bCs/>
        </w:rPr>
        <w:t xml:space="preserve">Defense tactics:</w:t>
      </w:r>
    </w:p>
    <w:p>
      <w:pPr>
        <w:pStyle w:val="ListParagraph"/>
        <w:numPr>
          <w:ilvl w:val="0"/>
          <w:numId w:val="2"/>
        </w:numPr>
        <w:spacing w:after="60"/>
      </w:pPr>
      <w:r>
        <w:t xml:space="preserve">Dividends/buybacks, communication, white knight, capital increase, pacman, poison pills, government protection, legal action. Hidden goal: buy time. Best long-run defense: stay well-managed.</w:t>
      </w:r>
    </w:p>
    <w:p>
      <w:pPr>
        <w:pStyle w:val="Heading2"/>
      </w:pPr>
      <w:r>
        <w:t xml:space="preserve">Financing &amp; PMI</w:t>
      </w:r>
    </w:p>
    <w:p>
      <w:pPr>
        <w:spacing w:after="80"/>
      </w:pPr>
      <w:r>
        <w:rPr>
          <w:b/>
          <w:bCs/>
        </w:rPr>
        <w:t xml:space="preserve">Golden rules:</w:t>
      </w:r>
    </w:p>
    <w:p>
      <w:pPr>
        <w:pStyle w:val="ListParagraph"/>
        <w:numPr>
          <w:ilvl w:val="0"/>
          <w:numId w:val="2"/>
        </w:numPr>
        <w:spacing w:after="60"/>
      </w:pPr>
      <w:r>
        <w:t xml:space="preserve">Separate financing from investment decision.</w:t>
      </w:r>
    </w:p>
    <w:p>
      <w:pPr>
        <w:pStyle w:val="ListParagraph"/>
        <w:numPr>
          <w:ilvl w:val="0"/>
          <w:numId w:val="2"/>
        </w:numPr>
        <w:spacing w:after="60"/>
      </w:pPr>
      <w:r>
        <w:t xml:space="preserve">Secure financing before announcing.</w:t>
      </w:r>
    </w:p>
    <w:p>
      <w:pPr>
        <w:spacing w:after="80"/>
      </w:pPr>
      <w:r>
        <w:rPr>
          <w:b/>
          <w:bCs/>
        </w:rPr>
        <w:t xml:space="preserve">Financing options:</w:t>
      </w:r>
    </w:p>
    <w:p>
      <w:pPr>
        <w:pStyle w:val="ListParagraph"/>
        <w:numPr>
          <w:ilvl w:val="0"/>
          <w:numId w:val="2"/>
        </w:numPr>
        <w:spacing w:after="60"/>
      </w:pPr>
      <w:r>
        <w:t xml:space="preserve">Capital increase, convertibles, bank loans, bonds, structured (LBO), bridge loans, vendor loans.</w:t>
      </w:r>
    </w:p>
    <w:p>
      <w:pPr>
        <w:pStyle w:val="ListParagraph"/>
        <w:numPr>
          <w:ilvl w:val="0"/>
          <w:numId w:val="2"/>
        </w:numPr>
        <w:spacing w:after="60"/>
      </w:pPr>
      <w:r>
        <w:t xml:space="preserve">Air Liquide/Airgas 2015-16: $12bn bridge → Eurobond + Yankee bond + rights issue over 10 months.</w:t>
      </w:r>
    </w:p>
    <w:p>
      <w:pPr>
        <w:spacing w:after="80"/>
      </w:pPr>
      <w:r>
        <w:rPr>
          <w:b/>
          <w:bCs/>
        </w:rPr>
        <w:t xml:space="preserve">PMI risks:</w:t>
      </w:r>
    </w:p>
    <w:p>
      <w:pPr>
        <w:pStyle w:val="ListParagraph"/>
        <w:numPr>
          <w:ilvl w:val="0"/>
          <w:numId w:val="2"/>
        </w:numPr>
        <w:spacing w:after="60"/>
      </w:pPr>
      <w:r>
        <w:t xml:space="preserve">Higher cost than expected, warranty triggers, underestimated legal/tax/political risks (Bayer-Monsanto, Holcim-Lafarge), underperformance, cultural resistance, missed synergies.</w:t>
      </w:r>
    </w:p>
    <w:sectPr>
      <w:headerReference w:type="default" r:id="rId7"/>
      <w:footerReference w:type="default" r:id="rId8"/>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color w:val="888888"/>
        <w:sz w:val="18"/>
        <w:szCs w:val="18"/>
      </w:rPr>
      <w:t xml:space="preserve">Page </w:t>
    </w:r>
    <w:r>
      <w:rPr>
        <w:color w:val="888888"/>
        <w:sz w:val="18"/>
        <w:szCs w:val="18"/>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right"/>
    </w:pPr>
    <w:r>
      <w:rPr>
        <w:color w:val="888888"/>
        <w:sz w:val="18"/>
        <w:szCs w:val="18"/>
      </w:rPr>
      <w:t xml:space="preserve">EMBA Week 2 — Module Summaries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540" w:hanging="360"/>
      </w:pPr>
    </w:lvl>
    <w:lvl w:ilvl="1" w15:tentative="1">
      <w:start w:val="1"/>
      <w:numFmt w:val="bullet"/>
      <w:lvlText w:val="◦"/>
      <w:lvlJc w:val="left"/>
      <w:pPr>
        <w:ind w:left="108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240" w:before="360"/>
      <w:outlineLvl w:val="0"/>
    </w:pPr>
    <w:rPr>
      <w:rFonts w:ascii="Calibri" w:cs="Calibri" w:eastAsia="Calibri" w:hAnsi="Calibri"/>
      <w:b/>
      <w:bCs/>
      <w:color w:val="1F4E79"/>
      <w:sz w:val="36"/>
      <w:szCs w:val="36"/>
    </w:rPr>
  </w:style>
  <w:style w:type="paragraph" w:styleId="Heading2">
    <w:name w:val="Heading 2"/>
    <w:basedOn w:val="Normal"/>
    <w:next w:val="Normal"/>
    <w:qFormat/>
    <w:pPr>
      <w:spacing w:after="160" w:before="240"/>
      <w:outlineLvl w:val="1"/>
    </w:pPr>
    <w:rPr>
      <w:rFonts w:ascii="Calibri" w:cs="Calibri" w:eastAsia="Calibri" w:hAnsi="Calibri"/>
      <w:b/>
      <w:bCs/>
      <w:color w:val="2E75B6"/>
      <w:sz w:val="28"/>
      <w:szCs w:val="28"/>
    </w:rPr>
  </w:style>
  <w:style w:type="paragraph" w:styleId="Heading3">
    <w:name w:val="Heading 3"/>
    <w:basedOn w:val="Normal"/>
    <w:next w:val="Normal"/>
    <w:qFormat/>
    <w:pPr>
      <w:spacing w:after="120" w:before="180"/>
      <w:outlineLvl w:val="2"/>
    </w:pPr>
    <w:rPr>
      <w:rFonts w:ascii="Calibri" w:cs="Calibri" w:eastAsia="Calibri" w:hAnsi="Calibri"/>
      <w:b/>
      <w:bCs/>
      <w:color w:val="404040"/>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EMBA Week 2 — Module Summaries</dc:title>
  <dc:creator>Claude (Cowork)</dc:creator>
  <cp:lastModifiedBy>Un-named</cp:lastModifiedBy>
  <cp:revision>1</cp:revision>
  <dcterms:created xsi:type="dcterms:W3CDTF">2026-05-12T06:56:18.106Z</dcterms:created>
  <dcterms:modified xsi:type="dcterms:W3CDTF">2026-05-12T06:56:18.107Z</dcterms:modified>
</cp:coreProperties>
</file>

<file path=docProps/custom.xml><?xml version="1.0" encoding="utf-8"?>
<Properties xmlns="http://schemas.openxmlformats.org/officeDocument/2006/custom-properties" xmlns:vt="http://schemas.openxmlformats.org/officeDocument/2006/docPropsVTypes"/>
</file>