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0"/>
        <w:jc w:val="center"/>
      </w:pPr>
      <w:r>
        <w:rPr>
          <w:b/>
          <w:bCs/>
          <w:sz w:val="36"/>
          <w:szCs w:val="36"/>
        </w:rPr>
        <w:t xml:space="preserve">EMBA Week 2</w:t>
      </w:r>
    </w:p>
    <w:p>
      <w:pPr>
        <w:spacing w:after="200"/>
        <w:jc w:val="center"/>
      </w:pPr>
      <w:r>
        <w:rPr>
          <w:b/>
          <w:bCs/>
          <w:color w:val="1F4E79"/>
          <w:sz w:val="44"/>
          <w:szCs w:val="44"/>
        </w:rPr>
        <w:t xml:space="preserve">Mock Exam &amp; Practice Questions</w:t>
      </w:r>
    </w:p>
    <w:p>
      <w:pPr>
        <w:spacing w:after="800"/>
        <w:jc w:val="center"/>
      </w:pPr>
      <w:r>
        <w:rPr>
          <w:i/>
          <w:iCs/>
          <w:sz w:val="24"/>
          <w:szCs w:val="24"/>
        </w:rPr>
        <w:t xml:space="preserve">Asset Management  •  Intangibles  •  M&amp;A</w:t>
      </w:r>
    </w:p>
    <w:p>
      <w:pPr>
        <w:spacing w:after="200" w:before="600"/>
      </w:pPr>
      <w:r>
        <w:rPr>
          <w:b/>
          <w:bCs/>
          <w:sz w:val="26"/>
          <w:szCs w:val="26"/>
        </w:rPr>
        <w:t xml:space="preserve">Instructions</w:t>
      </w:r>
    </w:p>
    <w:p>
      <w:pPr>
        <w:spacing w:after="100"/>
      </w:pPr>
      <w:r>
        <w:t xml:space="preserve">Take the mock exam under exam conditions: 60 minutes, no notes, no calculator first attempt. Then go back with notes for a second pass. The exam contains 24 multiple-choice questions (1 point each) and 9 short-answer questions (varies). Total: ~45 minutes for MCQs (about 2 min each), ~25 minutes for short answers. Use the Answer Key &amp; Explanations section after attempting each section.</w:t>
      </w:r>
    </w:p>
    <w:p>
      <w:pPr>
        <w:spacing w:after="100"/>
      </w:pPr>
      <w:r>
        <w:t xml:space="preserve">Difficulty: questions marked (★) are core concepts; (★★) are interpretive; (★★★) are stretch/integrative.</w:t>
      </w:r>
    </w:p>
    <w:p>
      <w:pPr>
        <w:pBdr>
          <w:top w:val="single" w:color="1B5E20" w:sz="12"/>
        </w:pBdr>
        <w:shd w:fill="E2F0D9" w:val="clear"/>
        <w:spacing w:after="80" w:before="200"/>
      </w:pPr>
      <w:r>
        <w:rPr>
          <w:b/>
          <w:bCs/>
          <w:color w:val="1B5E20"/>
          <w:sz w:val="24"/>
          <w:szCs w:val="24"/>
        </w:rPr>
        <w:t xml:space="preserve">Updated exam scope (Prof. Rosu, 5 May 2026 message)</w:t>
      </w:r>
    </w:p>
    <w:p>
      <w:pPr>
        <w:spacing w:after="40"/>
      </w:pPr>
      <w:r>
        <w:rPr>
          <w:sz w:val="22"/>
          <w:szCs w:val="22"/>
        </w:rPr>
        <w:t xml:space="preserve">• Topic 4 (Options) is NOT on the exam — the original options-focused Q8, S1 and S2 have been replaced with Topic 1 (Asset Allocation) questions in this revised edition.</w:t>
      </w:r>
    </w:p>
    <w:p>
      <w:pPr>
        <w:spacing w:after="40"/>
      </w:pPr>
      <w:r>
        <w:rPr>
          <w:sz w:val="22"/>
          <w:szCs w:val="22"/>
        </w:rPr>
        <w:t xml:space="preserve">• The Asset Management section of the exam will MOSTLY focus on Topic 1 (Modern Portfolio Theory + Riverside Memorial / HMC cases + the Excel models).</w:t>
      </w:r>
    </w:p>
    <w:p>
      <w:pPr>
        <w:spacing w:after="40"/>
      </w:pPr>
      <w:r>
        <w:rPr>
          <w:sz w:val="22"/>
          <w:szCs w:val="22"/>
        </w:rPr>
        <w:t xml:space="preserve">• Topics 2 (Market Efficiency) and 3 (Investors &amp; Performance) remain in scope but receive a smaller share of questions.</w:t>
      </w:r>
    </w:p>
    <w:p>
      <w:pPr>
        <w:spacing w:after="240"/>
      </w:pPr>
      <w:r>
        <w:rPr>
          <w:sz w:val="22"/>
          <w:szCs w:val="22"/>
        </w:rPr>
        <w:t xml:space="preserve">• Intangibles and M&amp;A questions are unchanged — those modules' material is fully in scope.</w:t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Executive orientation — how to approach these questions</w:t>
      </w:r>
    </w:p>
    <w:p>
      <w:pPr>
        <w:spacing w:after="100"/>
      </w:pPr>
      <w:r>
        <w:rPr>
          <w:sz w:val="22"/>
          <w:szCs w:val="22"/>
        </w:rPr>
        <w:t xml:space="preserve">Most exam questions test understanding of concepts and frameworks, not raw computation. Even when a question contains numbers, the answer usually depends on knowing what the formula MEANS, not on plugging numbers fast. Here is how to read each section:</w:t>
      </w:r>
    </w:p>
    <w:p>
      <w:pPr>
        <w:spacing w:after="60"/>
      </w:pPr>
      <w:r>
        <w:rPr>
          <w:sz w:val="22"/>
          <w:szCs w:val="22"/>
        </w:rPr>
        <w:t xml:space="preserve">• MCQ in Asset Management — most are about Topic 1 (asset allocation, MPT, Riverside/HMC). Look for the conceptual story: "if correlation falls, what does the tangency portfolio do?" The numbers are illustrative.</w:t>
      </w:r>
    </w:p>
    <w:p>
      <w:pPr>
        <w:spacing w:after="60"/>
      </w:pPr>
      <w:r>
        <w:rPr>
          <w:sz w:val="22"/>
          <w:szCs w:val="22"/>
        </w:rPr>
        <w:t xml:space="preserve">• MCQ in Intangibles — most are about accounting treatment of intangibles (capitalize vs expense), how capital structure should respond to intangible-heavy assets, and deal structures (dual-class, CVRs).</w:t>
      </w:r>
    </w:p>
    <w:p>
      <w:pPr>
        <w:spacing w:after="60"/>
      </w:pPr>
      <w:r>
        <w:rPr>
          <w:sz w:val="22"/>
          <w:szCs w:val="22"/>
        </w:rPr>
        <w:t xml:space="preserve">• MCQ in M&amp;A — most are about deal structure (cash vs share), the EV-Equity bridge, public M&amp;A regulations, and the Smith &amp; Wesson case numbers.</w:t>
      </w:r>
    </w:p>
    <w:p>
      <w:pPr>
        <w:spacing w:after="100"/>
      </w:pPr>
      <w:r>
        <w:rPr>
          <w:sz w:val="22"/>
          <w:szCs w:val="22"/>
        </w:rPr>
        <w:t xml:space="preserve">• Short answer — slow down. Show the formula you're using, then the substitution, then the final answer. Partial credit is real.</w:t>
      </w:r>
    </w:p>
    <w:p>
      <w:pPr>
        <w:spacing w:after="80" w:before="100"/>
      </w:pPr>
      <w:r>
        <w:rPr>
          <w:i/>
          <w:iCs/>
          <w:color w:val="555555"/>
          <w:sz w:val="20"/>
          <w:szCs w:val="20"/>
        </w:rPr>
        <w:t xml:space="preserve">Quick term reminders — if any of these confuse you in a question, refer back to the Primer chapter of the relevant textbook before answering:</w:t>
      </w:r>
    </w:p>
    <w:p>
      <w:pPr>
        <w:spacing w:after="40"/>
      </w:pPr>
      <w:r>
        <w:rPr>
          <w:sz w:val="20"/>
          <w:szCs w:val="20"/>
        </w:rPr>
        <w:t xml:space="preserve">• "Expected return" = long-run average; "σ (sigma)" = standard deviation = how much returns wobble; "ρ (rho)" = correlation between two assets; "r_f" = risk-free rate (T-bill yield); "w*" = optimal weight in the Tangency Portfolio.</w:t>
      </w:r>
    </w:p>
    <w:p>
      <w:pPr>
        <w:spacing w:after="40"/>
      </w:pPr>
      <w:r>
        <w:rPr>
          <w:sz w:val="20"/>
          <w:szCs w:val="20"/>
        </w:rPr>
        <w:t xml:space="preserve">• "EV" = Enterprise Value (whole business); "Equity Value" = market cap (shareholders only). EV − Net debt − other claims = Equity Value.</w:t>
      </w:r>
    </w:p>
    <w:p>
      <w:pPr>
        <w:spacing w:after="40"/>
      </w:pPr>
      <w:r>
        <w:rPr>
          <w:sz w:val="20"/>
          <w:szCs w:val="20"/>
        </w:rPr>
        <w:t xml:space="preserve">• "ROIC" = (1−t)·EBIT / Invested Capital; "PE" = price / earnings; "ND/EBITDA" = leverage ratio.</w:t>
      </w:r>
    </w:p>
    <w:p>
      <w:pPr>
        <w:spacing w:after="240"/>
      </w:pPr>
      <w:r>
        <w:rPr>
          <w:sz w:val="20"/>
          <w:szCs w:val="20"/>
        </w:rPr>
        <w:t xml:space="preserve">• "OPA" = cash offer for listed company; "OPE" = share-based offer (merger). "CVR" = Contingent Value Right (a public-market earn-out).</w:t>
      </w:r>
    </w:p>
    <w:p>
      <w:pPr>
        <w:pStyle w:val="Heading1"/>
        <w:pageBreakBefore/>
      </w:pPr>
      <w:r>
        <w:t xml:space="preserve">Section 1 — Multiple-Choice Questions (24)</w:t>
      </w:r>
    </w:p>
    <w:p>
      <w:pPr>
        <w:spacing w:after="100"/>
      </w:pPr>
      <w:r>
        <w:t xml:space="preserve">Choose the BEST answer. Each question is worth 1 point.</w:t>
      </w:r>
    </w:p>
    <w:p>
      <w:pPr>
        <w:pStyle w:val="Heading2"/>
      </w:pPr>
      <w:r>
        <w:t xml:space="preserve">Module 1 — Asset Management (8 MCQs)</w:t>
      </w:r>
    </w:p>
    <w:p>
      <w:pPr>
        <w:spacing w:after="100" w:before="200"/>
      </w:pPr>
      <w:r>
        <w:rPr>
          <w:b/>
          <w:bCs/>
          <w:color w:val="1F4E79"/>
        </w:rPr>
        <w:t xml:space="preserve">Q1. </w:t>
      </w:r>
      <w:r>
        <w:t xml:space="preserve">(★) The Sharpe ratio of an asset measures: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Expected return divided by variance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Expected return divided by standard deviation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(Expected return − risk-free rate) divided by standard deviation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(Expected return − risk-free rate) divided by variance</w:t>
      </w:r>
    </w:p>
    <w:p>
      <w:pPr>
        <w:spacing w:after="100" w:before="200"/>
      </w:pPr>
      <w:r>
        <w:rPr>
          <w:b/>
          <w:bCs/>
          <w:color w:val="1F4E79"/>
        </w:rPr>
        <w:t xml:space="preserve">Q2. </w:t>
      </w:r>
      <w:r>
        <w:t xml:space="preserve">(★) Adding a new, non-redundant risky asset to a portfolio: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Always shifts the efficient frontier to the right (worse)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Shifts the efficient frontier to the left (better, for given E, lower σ)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Has no effect if the new asset is risky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Eliminates systematic risk</w:t>
      </w:r>
    </w:p>
    <w:p>
      <w:pPr>
        <w:spacing w:after="100" w:before="200"/>
      </w:pPr>
      <w:r>
        <w:rPr>
          <w:b/>
          <w:bCs/>
          <w:color w:val="1F4E79"/>
        </w:rPr>
        <w:t xml:space="preserve">Q3. </w:t>
      </w:r>
      <w:r>
        <w:t xml:space="preserve">(★★) Suppose ρ between two risky assets falls from 35% to 10%. The tangency portfolio T will most likely: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Shift entirely into the asset with the higher expected return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Be unchanged because correlation does not affect expected returns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Place greater weight on the asset that becomes a better hedge (lower-correlation hedge)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Move entirely into cash</w:t>
      </w:r>
    </w:p>
    <w:p>
      <w:pPr>
        <w:spacing w:after="100" w:before="200"/>
      </w:pPr>
      <w:r>
        <w:rPr>
          <w:b/>
          <w:bCs/>
          <w:color w:val="1F4E79"/>
        </w:rPr>
        <w:t xml:space="preserve">Q4. </w:t>
      </w:r>
      <w:r>
        <w:t xml:space="preserve">(★★) Under the Black-Litterman model, an investor with no view on any asset should: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Hold a 60/40 stocks/bonds portfolio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Hold the market portfolio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Hold only the risk-free asset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Hold the minimum-variance portfolio</w:t>
      </w:r>
    </w:p>
    <w:p>
      <w:pPr>
        <w:spacing w:after="100" w:before="200"/>
      </w:pPr>
      <w:r>
        <w:rPr>
          <w:b/>
          <w:bCs/>
          <w:color w:val="1F4E79"/>
        </w:rPr>
        <w:t xml:space="preserve">Q5. </w:t>
      </w:r>
      <w:r>
        <w:t xml:space="preserve">(★★★) Post-Earnings-Announcement Drift (PEAD) is BEST described as evidence of: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Strong-form market efficiency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Markets overreacting to news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Markets underreacting to public information (semi-strong inefficiency)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Insider trading</w:t>
      </w:r>
    </w:p>
    <w:p>
      <w:pPr>
        <w:spacing w:after="100" w:before="200"/>
      </w:pPr>
      <w:r>
        <w:rPr>
          <w:b/>
          <w:bCs/>
          <w:color w:val="1F4E79"/>
        </w:rPr>
        <w:t xml:space="preserve">Q6. </w:t>
      </w:r>
      <w:r>
        <w:t xml:space="preserve">(★) Bill shorts 100K RedCoin at $1.10/unit. Initial margin requirement is 50%, maintenance margin is 30%. What is his TOTAL margin requirement at initiation?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$110K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$55K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$165K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$143K</w:t>
      </w:r>
    </w:p>
    <w:p>
      <w:pPr>
        <w:spacing w:after="100" w:before="200"/>
      </w:pPr>
      <w:r>
        <w:rPr>
          <w:b/>
          <w:bCs/>
          <w:color w:val="1F4E79"/>
        </w:rPr>
        <w:t xml:space="preserve">Q7. </w:t>
      </w:r>
      <w:r>
        <w:t xml:space="preserve">(★★) The Frazzini-Pedersen "Betting Against Beta" result implies that: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High-beta assets earn higher alpha because of leverage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Low-beta assets have higher alpha because constrained investors overpay for high-beta exposure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Alpha is uncorrelated with beta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The CAPM correctly prices high-beta assets</w:t>
      </w:r>
    </w:p>
    <w:p>
      <w:pPr>
        <w:spacing w:after="100" w:before="200"/>
      </w:pPr>
      <w:r>
        <w:rPr>
          <w:b/>
          <w:bCs/>
          <w:color w:val="1F4E79"/>
        </w:rPr>
        <w:t xml:space="preserve">Q8. </w:t>
      </w:r>
      <w:r>
        <w:t xml:space="preserve">(★★) Riverside Memorial's Tangency portfolio invests 27.82% in Stocks, 37.99% in Bonds, and 34.20% in Real Estate. If the correlation between Stocks and Bonds drops from 35% to 10%, what is the MOST likely change?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Bond weight in T drops significantly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Bond weight in T rises significantly (bonds become a better hedge for stocks)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Real Estate weight rises to 50%+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T becomes entirely T-bills</w:t>
      </w:r>
    </w:p>
    <w:p>
      <w:pPr>
        <w:pStyle w:val="Heading2"/>
      </w:pPr>
      <w:r>
        <w:t xml:space="preserve">Module 6 — Valuing Intangibles (8 MCQs)</w:t>
      </w:r>
    </w:p>
    <w:p>
      <w:pPr>
        <w:spacing w:after="100" w:before="200"/>
      </w:pPr>
      <w:r>
        <w:rPr>
          <w:b/>
          <w:bCs/>
          <w:color w:val="1F4E79"/>
        </w:rPr>
        <w:t xml:space="preserve">Q9. </w:t>
      </w:r>
      <w:r>
        <w:t xml:space="preserve">(★) Under US GAAP, internally-generated intangibles such as R&amp;D are usually: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Capitalized and amortized over 5 years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Capitalized as goodwill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Expensed in the period incurred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Capitalized only if generated by a public company</w:t>
      </w:r>
    </w:p>
    <w:p>
      <w:pPr>
        <w:spacing w:after="100" w:before="200"/>
      </w:pPr>
      <w:r>
        <w:rPr>
          <w:b/>
          <w:bCs/>
          <w:color w:val="1F4E79"/>
        </w:rPr>
        <w:t xml:space="preserve">Q10. </w:t>
      </w:r>
      <w:r>
        <w:t xml:space="preserve">(★★) Capitalizing previously-expensed R&amp;D will typically have which effect on the firm's ROIC?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ROIC rises because EBIT rises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ROIC is unchanged because tax is the same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ROIC tends to FALL because invested capital rises faster than adjusted EBIT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ROIC becomes negative</w:t>
      </w:r>
    </w:p>
    <w:p>
      <w:pPr>
        <w:spacing w:after="100" w:before="200"/>
      </w:pPr>
      <w:r>
        <w:rPr>
          <w:b/>
          <w:bCs/>
          <w:color w:val="1F4E79"/>
        </w:rPr>
        <w:t xml:space="preserve">Q11. </w:t>
      </w:r>
      <w:r>
        <w:t xml:space="preserve">(★) Goodwill is BEST defined as: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The cash paid in an acquisition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Purchase price minus the fair value of identifiable net assets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The brand value of the target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The book value of the target's equity</w:t>
      </w:r>
    </w:p>
    <w:p>
      <w:pPr>
        <w:spacing w:after="100" w:before="200"/>
      </w:pPr>
      <w:r>
        <w:rPr>
          <w:b/>
          <w:bCs/>
          <w:color w:val="1F4E79"/>
        </w:rPr>
        <w:t xml:space="preserve">Q12. </w:t>
      </w:r>
      <w:r>
        <w:t xml:space="preserve">(★★) For a tech firm relying heavily on R&amp;D, intangibles, and human capital, the optimal capital structure tends to involve: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Very high financial leverage to maximize tax shields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Low or negative leverage with high cash reserves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100% equity financing only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Asset-backed securitization of patents</w:t>
      </w:r>
    </w:p>
    <w:p>
      <w:pPr>
        <w:spacing w:after="100" w:before="200"/>
      </w:pPr>
      <w:r>
        <w:rPr>
          <w:b/>
          <w:bCs/>
          <w:color w:val="1F4E79"/>
        </w:rPr>
        <w:t xml:space="preserve">Q13. </w:t>
      </w:r>
      <w:r>
        <w:t xml:space="preserve">(★) The three approaches to estimate Net Orderly Liquidation Value (NOLV) of an intangible are: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DCF, comparable companies, and precedent transactions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Market-based, cost-based, and income-based (relief from royalty)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FIFO, LIFO, and weighted average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Black-Scholes, binomial, and Monte Carlo</w:t>
      </w:r>
    </w:p>
    <w:p>
      <w:pPr>
        <w:spacing w:after="100" w:before="200"/>
      </w:pPr>
      <w:r>
        <w:rPr>
          <w:b/>
          <w:bCs/>
          <w:color w:val="1F4E79"/>
        </w:rPr>
        <w:t xml:space="preserve">Q14. </w:t>
      </w:r>
      <w:r>
        <w:t xml:space="preserve">(★★) Compared with an earn-out, a CVR is BEST characterized as: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Public-market equivalent of an earn-out; often traded on an exchange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A guaranteed minimum payment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An option on the acquirer's stock with cash settlement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A loan from the acquirer to the target</w:t>
      </w:r>
    </w:p>
    <w:p>
      <w:pPr>
        <w:spacing w:after="100" w:before="200"/>
      </w:pPr>
      <w:r>
        <w:rPr>
          <w:b/>
          <w:bCs/>
          <w:color w:val="1F4E79"/>
        </w:rPr>
        <w:t xml:space="preserve">Q15. </w:t>
      </w:r>
      <w:r>
        <w:t xml:space="preserve">(★) A dual-class share structure with 10:1 voting ratio (Class B has 10 votes per share) is typically used to: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Minimize agency conflicts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Allow founders to retain voting control while bringing in outside equity capital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Comply with accounting standards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Reduce the cost of debt</w:t>
      </w:r>
    </w:p>
    <w:p>
      <w:pPr>
        <w:spacing w:after="100" w:before="200"/>
      </w:pPr>
      <w:r>
        <w:rPr>
          <w:b/>
          <w:bCs/>
          <w:color w:val="1F4E79"/>
        </w:rPr>
        <w:t xml:space="preserve">Q16. </w:t>
      </w:r>
      <w:r>
        <w:t xml:space="preserve">(★★) Which of the following is a key REASON the US corporate sector turned from net borrower to net lender over the past 2-3 decades?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Increased dividend payouts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Rise of intangible-intensive firms holding large cash/securities reserves as insurance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Government regulations forcing cash retention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Decline in real interest rates</w:t>
      </w:r>
    </w:p>
    <w:p>
      <w:pPr>
        <w:pStyle w:val="Heading2"/>
      </w:pPr>
      <w:r>
        <w:t xml:space="preserve">Module 7 — Mergers &amp; Acquisitions (8 MCQs)</w:t>
      </w:r>
    </w:p>
    <w:p>
      <w:pPr>
        <w:spacing w:after="100" w:before="200"/>
      </w:pPr>
      <w:r>
        <w:rPr>
          <w:b/>
          <w:bCs/>
          <w:color w:val="1F4E79"/>
        </w:rPr>
        <w:t xml:space="preserve">Q17. </w:t>
      </w:r>
      <w:r>
        <w:t xml:space="preserve">(★) In a cash deal (acquisition), the impact on the ACQUIRER's market capitalization is: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Unchanged (cash leaves, business comes in)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Equal to the target's market cap added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Reduced by the value of net debt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Doubled</w:t>
      </w:r>
    </w:p>
    <w:p>
      <w:pPr>
        <w:spacing w:after="100" w:before="200"/>
      </w:pPr>
      <w:r>
        <w:rPr>
          <w:b/>
          <w:bCs/>
          <w:color w:val="1F4E79"/>
        </w:rPr>
        <w:t xml:space="preserve">Q18. </w:t>
      </w:r>
      <w:r>
        <w:t xml:space="preserve">(★) In a share deal (merger), EPS accretion for the acquirer requires: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Premium-adjusted P/E of acquirer &lt; P/E of target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Premium-adjusted P/E of acquirer &gt; P/E of target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Target's EPS to exceed acquirer's EPS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Equal market caps</w:t>
      </w:r>
    </w:p>
    <w:p>
      <w:pPr>
        <w:spacing w:after="100" w:before="200"/>
      </w:pPr>
      <w:r>
        <w:rPr>
          <w:b/>
          <w:bCs/>
          <w:color w:val="1F4E79"/>
        </w:rPr>
        <w:t xml:space="preserve">Q19. </w:t>
      </w:r>
      <w:r>
        <w:t xml:space="preserve">(★★) A KEY principle for any M&amp;A pricing is: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Pay no more than book value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Always use cash to avoid dilution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PV of future synergies must be at least equal to the premium paid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Match the target's leverage ratio</w:t>
      </w:r>
    </w:p>
    <w:p>
      <w:pPr>
        <w:spacing w:after="100" w:before="200"/>
      </w:pPr>
      <w:r>
        <w:rPr>
          <w:b/>
          <w:bCs/>
          <w:color w:val="1F4E79"/>
        </w:rPr>
        <w:t xml:space="preserve">Q20. </w:t>
      </w:r>
      <w:r>
        <w:t xml:space="preserve">(★) The MAIN difference between "locked box" and "completion accounts":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Locked box uses cash; completion accounts use shares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Locked box fixes the price at signing using recent accounts; completion accounts adjust based on closing-date accounts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Locked box is for private deals only; completion accounts only for listed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They are different names for the same mechanism</w:t>
      </w:r>
    </w:p>
    <w:p>
      <w:pPr>
        <w:spacing w:after="100" w:before="200"/>
      </w:pPr>
      <w:r>
        <w:rPr>
          <w:b/>
          <w:bCs/>
          <w:color w:val="1F4E79"/>
        </w:rPr>
        <w:t xml:space="preserve">Q21. </w:t>
      </w:r>
      <w:r>
        <w:t xml:space="preserve">(★★) Which item is typically PART of the EV → Equity Value "bridge" in an M&amp;A negotiation?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Future R&amp;D budget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Net financial debt, minorities, pensions, off-balance-sheet commitments, working capital adjustment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Goodwill from prior acquisitions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Marketing spend</w:t>
      </w:r>
    </w:p>
    <w:p>
      <w:pPr>
        <w:spacing w:after="100" w:before="200"/>
      </w:pPr>
      <w:r>
        <w:rPr>
          <w:b/>
          <w:bCs/>
          <w:color w:val="1F4E79"/>
        </w:rPr>
        <w:t xml:space="preserve">Q22. </w:t>
      </w:r>
      <w:r>
        <w:t xml:space="preserve">(★) In France, what is typically the threshold above which an acquirer must launch a mandatory tender offer?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10%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20%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30%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50%</w:t>
      </w:r>
    </w:p>
    <w:p>
      <w:pPr>
        <w:spacing w:after="100" w:before="200"/>
      </w:pPr>
      <w:r>
        <w:rPr>
          <w:b/>
          <w:bCs/>
          <w:color w:val="1F4E79"/>
        </w:rPr>
        <w:t xml:space="preserve">Q23. </w:t>
      </w:r>
      <w:r>
        <w:t xml:space="preserve">(★★) Which of the following is a TYPICAL takeover defense?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Poison pill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White knight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Pacman defense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All of the above</w:t>
      </w:r>
    </w:p>
    <w:p>
      <w:pPr>
        <w:spacing w:after="100" w:before="200"/>
      </w:pPr>
      <w:r>
        <w:rPr>
          <w:b/>
          <w:bCs/>
          <w:color w:val="1F4E79"/>
        </w:rPr>
        <w:t xml:space="preserve">Q24. </w:t>
      </w:r>
      <w:r>
        <w:t xml:space="preserve">(★★★) The Air Liquide / Airgas $13.4bn deal in 2015-16 illustrates which financing technique?</w:t>
      </w:r>
    </w:p>
    <w:p>
      <w:pPr>
        <w:spacing w:after="40"/>
        <w:ind w:left="360"/>
      </w:pPr>
      <w:r>
        <w:rPr>
          <w:b/>
          <w:bCs/>
        </w:rPr>
        <w:t xml:space="preserve">A.</w:t>
      </w:r>
      <w:r>
        <w:t xml:space="preserve">  All-equity financing</w:t>
      </w:r>
    </w:p>
    <w:p>
      <w:pPr>
        <w:spacing w:after="40"/>
        <w:ind w:left="360"/>
      </w:pPr>
      <w:r>
        <w:rPr>
          <w:b/>
          <w:bCs/>
        </w:rPr>
        <w:t xml:space="preserve">B.</w:t>
      </w:r>
      <w:r>
        <w:t xml:space="preserve">  Bridge loan refinanced over time via Eurobond, Yankee bond, and rights issue</w:t>
      </w:r>
    </w:p>
    <w:p>
      <w:pPr>
        <w:spacing w:after="40"/>
        <w:ind w:left="360"/>
      </w:pPr>
      <w:r>
        <w:rPr>
          <w:b/>
          <w:bCs/>
        </w:rPr>
        <w:t xml:space="preserve">C.</w:t>
      </w:r>
      <w:r>
        <w:t xml:space="preserve">  Vendor loan</w:t>
      </w:r>
    </w:p>
    <w:p>
      <w:pPr>
        <w:spacing w:after="40"/>
        <w:ind w:left="360"/>
      </w:pPr>
      <w:r>
        <w:rPr>
          <w:b/>
          <w:bCs/>
        </w:rPr>
        <w:t xml:space="preserve">D.</w:t>
      </w:r>
      <w:r>
        <w:t xml:space="preserve">  Pure leveraged buyout</w:t>
      </w:r>
    </w:p>
    <w:p>
      <w:pPr>
        <w:pStyle w:val="Heading1"/>
        <w:pageBreakBefore/>
      </w:pPr>
      <w:r>
        <w:t xml:space="preserve">Section 2 — Short-Answer Questions (9)</w:t>
      </w:r>
    </w:p>
    <w:p>
      <w:pPr>
        <w:spacing w:after="100" w:before="200"/>
      </w:pPr>
      <w:r>
        <w:rPr>
          <w:b/>
          <w:bCs/>
          <w:color w:val="1F4E79"/>
        </w:rPr>
        <w:t xml:space="preserve">QS1. </w:t>
      </w:r>
      <w:r>
        <w:t xml:space="preserve">(Asset Management; 3 marks) State the two-fund separation theorem and explain why every mean-variance investor, regardless of risk aversion, should hold at least some of the Tangency portfolio T.</w:t>
      </w:r>
    </w:p>
    <w:p>
      <w:pPr>
        <w:spacing w:after="100" w:before="200"/>
      </w:pPr>
      <w:r>
        <w:rPr>
          <w:b/>
          <w:bCs/>
          <w:color w:val="1F4E79"/>
        </w:rPr>
        <w:t xml:space="preserve">QS2. </w:t>
      </w:r>
      <w:r>
        <w:t xml:space="preserve">(Asset Management; 4 marks) An investor has quadratic utility U = E − ½ A σ², with risk aversion A = 5. The Tangency portfolio T has expected return 7.95% and standard deviation 8.47%; the risk-free rate is 3%. Compute the optimal weight w* in T, and explain how the resulting portfolio is constructed in terms of stocks, bonds, real estate, and T-bills (use Riverside Memorial's tangency composition: 27.82% S, 37.99% B, 34.20% RE).</w:t>
      </w:r>
    </w:p>
    <w:p>
      <w:pPr>
        <w:spacing w:after="100" w:before="200"/>
      </w:pPr>
      <w:r>
        <w:rPr>
          <w:b/>
          <w:bCs/>
          <w:color w:val="1F4E79"/>
        </w:rPr>
        <w:t xml:space="preserve">QS3. </w:t>
      </w:r>
      <w:r>
        <w:t xml:space="preserve">(Asset Management; 3 marks) Explain TWO reasons that limit a textbook arbitrage in practice, using the Twin Coin / Royal Dutch / VW / GameStop cases as inspiration.</w:t>
      </w:r>
    </w:p>
    <w:p>
      <w:pPr>
        <w:spacing w:after="100" w:before="200"/>
      </w:pPr>
      <w:r>
        <w:rPr>
          <w:b/>
          <w:bCs/>
          <w:color w:val="1F4E79"/>
        </w:rPr>
        <w:t xml:space="preserve">QS4. </w:t>
      </w:r>
      <w:r>
        <w:t xml:space="preserve">(Intangibles; 3 marks) A pharma firm spends €200M on R&amp;D in year t and amortizes it over 4 years. What is the contribution of year-t R&amp;D to capitalized intangibles at end of year t? At end of year t+2?</w:t>
      </w:r>
    </w:p>
    <w:p>
      <w:pPr>
        <w:spacing w:after="100" w:before="200"/>
      </w:pPr>
      <w:r>
        <w:rPr>
          <w:b/>
          <w:bCs/>
          <w:color w:val="1F4E79"/>
        </w:rPr>
        <w:t xml:space="preserve">QS5. </w:t>
      </w:r>
      <w:r>
        <w:t xml:space="preserve">(Intangibles; 3 marks) Why do firms in intangible-heavy sectors tend to hold large cash reserves and operate with low or negative net financial debt? Use the capital-structure checklist.</w:t>
      </w:r>
    </w:p>
    <w:p>
      <w:pPr>
        <w:spacing w:after="100" w:before="200"/>
      </w:pPr>
      <w:r>
        <w:rPr>
          <w:b/>
          <w:bCs/>
          <w:color w:val="1F4E79"/>
        </w:rPr>
        <w:t xml:space="preserve">QS6. </w:t>
      </w:r>
      <w:r>
        <w:t xml:space="preserve">(Intangibles; 4 marks) Briefly describe the difference between a price-protection CVR and an event-driven CVR. Give an example of each.</w:t>
      </w:r>
    </w:p>
    <w:p>
      <w:pPr>
        <w:spacing w:after="100" w:before="200"/>
      </w:pPr>
      <w:r>
        <w:rPr>
          <w:b/>
          <w:bCs/>
          <w:color w:val="1F4E79"/>
        </w:rPr>
        <w:t xml:space="preserve">QS7. </w:t>
      </w:r>
      <w:r>
        <w:t xml:space="preserve">(M&amp;A; 4 marks) In the Smith &amp; Wesson case (Smith MC=$1bn at 20× P/E; Wesson MC=$500M at 12.5× P/E; Wesson 100% acquired in cash), compute (a) post-deal market cap of Smith, (b) Mrs Smith's % ownership of Smith, and (c) the post-deal Net Debt / EBITDA ratio (Smith ND=-$10M, Wesson ND=$80M; EBITDA 90+70=$160M).</w:t>
      </w:r>
    </w:p>
    <w:p>
      <w:pPr>
        <w:spacing w:after="100" w:before="200"/>
      </w:pPr>
      <w:r>
        <w:rPr>
          <w:b/>
          <w:bCs/>
          <w:color w:val="1F4E79"/>
        </w:rPr>
        <w:t xml:space="preserve">QS8. </w:t>
      </w:r>
      <w:r>
        <w:t xml:space="preserve">(M&amp;A; 3 marks) Compare a cash offer (OPA) and a share offer (OPE) in public M&amp;A on three dimensions: financial certainty for target shareholders, acquirer's dilution, and acquirer's leverage.</w:t>
      </w:r>
    </w:p>
    <w:p>
      <w:pPr>
        <w:spacing w:after="100" w:before="200"/>
      </w:pPr>
      <w:r>
        <w:rPr>
          <w:b/>
          <w:bCs/>
          <w:color w:val="1F4E79"/>
        </w:rPr>
        <w:t xml:space="preserve">QS9. </w:t>
      </w:r>
      <w:r>
        <w:t xml:space="preserve">(M&amp;A; 3 marks) List four typical defense tactics a listed target can deploy against a hostile takeover bid, and explain in one sentence the underlying objective they all share.</w:t>
      </w:r>
    </w:p>
    <w:p>
      <w:pPr>
        <w:pStyle w:val="Heading1"/>
        <w:pageBreakBefore/>
      </w:pPr>
      <w:r>
        <w:t xml:space="preserve">Answer Key &amp; Detailed Explanations</w:t>
      </w:r>
    </w:p>
    <w:p>
      <w:pPr>
        <w:pStyle w:val="Heading2"/>
      </w:pPr>
      <w:r>
        <w:t xml:space="preserve">Multiple-Choice — Answers</w:t>
      </w:r>
    </w:p>
    <w:p>
      <w:pPr>
        <w:spacing w:after="80" w:before="100"/>
      </w:pPr>
      <w:r>
        <w:rPr>
          <w:b/>
          <w:bCs/>
          <w:color w:val="00703C"/>
        </w:rPr>
        <w:t xml:space="preserve">Q1: </w:t>
      </w:r>
      <w:r>
        <w:t xml:space="preserve">C — (E − r_f) / σ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Sharpe = excess return per unit of total risk (standard deviation). Variance would not be unit-correct.</w:t>
      </w:r>
    </w:p>
    <w:p>
      <w:pPr>
        <w:spacing w:after="80" w:before="100"/>
      </w:pPr>
      <w:r>
        <w:rPr>
          <w:b/>
          <w:bCs/>
          <w:color w:val="00703C"/>
        </w:rPr>
        <w:t xml:space="preserve">Q2: </w:t>
      </w:r>
      <w:r>
        <w:t xml:space="preserve">B — Shifts efficient frontier left (better)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Adding non-redundant assets enlarges the IO set; for any given expected return, lower σ is now achievable.</w:t>
      </w:r>
    </w:p>
    <w:p>
      <w:pPr>
        <w:spacing w:after="80" w:before="100"/>
      </w:pPr>
      <w:r>
        <w:rPr>
          <w:b/>
          <w:bCs/>
          <w:color w:val="00703C"/>
        </w:rPr>
        <w:t xml:space="preserve">Q3: </w:t>
      </w:r>
      <w:r>
        <w:t xml:space="preserve">C — Greater weight on the lower-correlation asset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When ρ falls, the lower-return asset (typically bonds) becomes a better hedge against the higher-return asset (stocks), so tangency tilts toward it (e.g., Riverside Memorial Q4a: T moves from 27.8% S / 38% B / 34.2% RE toward 27% S / 46% B / 27% RE when ρ_SB falls from 35% to 10%).</w:t>
      </w:r>
    </w:p>
    <w:p>
      <w:pPr>
        <w:spacing w:after="80" w:before="100"/>
      </w:pPr>
      <w:r>
        <w:rPr>
          <w:b/>
          <w:bCs/>
          <w:color w:val="00703C"/>
        </w:rPr>
        <w:t xml:space="preserve">Q4: </w:t>
      </w:r>
      <w:r>
        <w:t xml:space="preserve">B — Hold the market portfolio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BL prior = market portfolio. Only when investors have views do they tilt away from market weights. "Smart investors should diversify too."</w:t>
      </w:r>
    </w:p>
    <w:p>
      <w:pPr>
        <w:spacing w:after="80" w:before="100"/>
      </w:pPr>
      <w:r>
        <w:rPr>
          <w:b/>
          <w:bCs/>
          <w:color w:val="00703C"/>
        </w:rPr>
        <w:t xml:space="preserve">Q5: </w:t>
      </w:r>
      <w:r>
        <w:t xml:space="preserve">C — Underreaction to public info (semi-strong inefficiency)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Ball &amp; Brown (1968): post-earnings prices drift in the news direction — prices don't fully incorporate the news immediately. PEAD has weakened over time as markets learn.</w:t>
      </w:r>
    </w:p>
    <w:p>
      <w:pPr>
        <w:spacing w:after="80" w:before="100"/>
      </w:pPr>
      <w:r>
        <w:rPr>
          <w:b/>
          <w:bCs/>
          <w:color w:val="00703C"/>
        </w:rPr>
        <w:t xml:space="preserve">Q6: </w:t>
      </w:r>
      <w:r>
        <w:t xml:space="preserve">C — $165K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Total margin = short-sale proceeds + initial margin = $110K + 50%·$110K = $165K. (Maintenance margin of 30% is for ongoing requirement, not initial.)</w:t>
      </w:r>
    </w:p>
    <w:p>
      <w:pPr>
        <w:spacing w:after="80" w:before="100"/>
      </w:pPr>
      <w:r>
        <w:rPr>
          <w:b/>
          <w:bCs/>
          <w:color w:val="00703C"/>
        </w:rPr>
        <w:t xml:space="preserve">Q7: </w:t>
      </w:r>
      <w:r>
        <w:t xml:space="preserve">B — Low-beta has high alpha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Constrained investors who can't leverage prefer high-beta to gain market exposure. Their bidding lifts high-beta prices, lowering future returns — leaving high alpha for unconstrained investors who lever low-beta assets.</w:t>
      </w:r>
    </w:p>
    <w:p>
      <w:pPr>
        <w:spacing w:after="80" w:before="100"/>
      </w:pPr>
      <w:r>
        <w:rPr>
          <w:b/>
          <w:bCs/>
          <w:color w:val="00703C"/>
        </w:rPr>
        <w:t xml:space="preserve">Q8: </w:t>
      </w:r>
      <w:r>
        <w:t xml:space="preserve">B — Bond weight rises significantly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When ρ(Stocks, Bonds) falls from 35% to 10%, bonds become a much better hedge for stocks. The Tangency portfolio reallocates toward bonds. In Riverside Memorial: Bond weight rises from 37.99% to 45.99% (about +8 pp), Real Estate falls from 34.20% to 27.01%, Stocks barely change (27.01%). The Sharpe ratio rises from 0.584 to 0.615.</w:t>
      </w:r>
    </w:p>
    <w:p>
      <w:pPr>
        <w:spacing w:after="80" w:before="100"/>
      </w:pPr>
      <w:r>
        <w:rPr>
          <w:b/>
          <w:bCs/>
          <w:color w:val="00703C"/>
        </w:rPr>
        <w:t xml:space="preserve">Q9: </w:t>
      </w:r>
      <w:r>
        <w:t xml:space="preserve">C — Expensed in the period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US GAAP forbids capitalization of internally-generated intangibles. Acquired intangibles can sometimes be capitalized. IFRS allows certain development costs but not research.</w:t>
      </w:r>
    </w:p>
    <w:p>
      <w:pPr>
        <w:spacing w:after="80" w:before="100"/>
      </w:pPr>
      <w:r>
        <w:rPr>
          <w:b/>
          <w:bCs/>
          <w:color w:val="00703C"/>
        </w:rPr>
        <w:t xml:space="preserve">Q10: </w:t>
      </w:r>
      <w:r>
        <w:t xml:space="preserve">C — ROIC tends to FALL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Capitalizing raises both EBIT (R&amp;D no longer fully expensed, less amortization) and invested capital (capitalized intangibles added to IC). In the BioTechCo example, IC rises proportionally faster than adjusted EBIT (ROIC fell from 43.9% to 29.6%). Longer amortizable life widens the gap.</w:t>
      </w:r>
    </w:p>
    <w:p>
      <w:pPr>
        <w:spacing w:after="80" w:before="100"/>
      </w:pPr>
      <w:r>
        <w:rPr>
          <w:b/>
          <w:bCs/>
          <w:color w:val="00703C"/>
        </w:rPr>
        <w:t xml:space="preserve">Q11: </w:t>
      </w:r>
      <w:r>
        <w:t xml:space="preserve">B — Purchase price − fair value of identifiable net assets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Amazon/Whole Foods: ~70% of $13bn price → goodwill. Goodwill captures synergies and intangibles accountants cannot recognize separately.</w:t>
      </w:r>
    </w:p>
    <w:p>
      <w:pPr>
        <w:spacing w:after="80" w:before="100"/>
      </w:pPr>
      <w:r>
        <w:rPr>
          <w:b/>
          <w:bCs/>
          <w:color w:val="00703C"/>
        </w:rPr>
        <w:t xml:space="preserve">Q12: </w:t>
      </w:r>
      <w:r>
        <w:t xml:space="preserve">B — Low or negative leverage with high cash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Tech firms have weak tax shield (cyclical losses), strong distress risk, strong investment needs, hard-to-pledge assets, intense competition, and human-capital reliance. Apple FY24: net debt ≈ −$50bn.</w:t>
      </w:r>
    </w:p>
    <w:p>
      <w:pPr>
        <w:spacing w:after="80" w:before="100"/>
      </w:pPr>
      <w:r>
        <w:rPr>
          <w:b/>
          <w:bCs/>
          <w:color w:val="00703C"/>
        </w:rPr>
        <w:t xml:space="preserve">Q13: </w:t>
      </w:r>
      <w:r>
        <w:t xml:space="preserve">B — Market-based, cost-based, income-based (relief-from-royalty)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NOLV approaches: (i) comparables in similar circumstances, (ii) replacement cost, (iii) PV of incremental earnings/royalties (most common: relief-from-royalty).</w:t>
      </w:r>
    </w:p>
    <w:p>
      <w:pPr>
        <w:spacing w:after="80" w:before="100"/>
      </w:pPr>
      <w:r>
        <w:rPr>
          <w:b/>
          <w:bCs/>
          <w:color w:val="00703C"/>
        </w:rPr>
        <w:t xml:space="preserve">Q14: </w:t>
      </w:r>
      <w:r>
        <w:t xml:space="preserve">A — Public-market equivalent of an earn-out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CVRs are tradable rights contingent on stock price (price-protection collar) or events (FDA approval, sales). They bridge valuation gaps and reduce upfront consideration.</w:t>
      </w:r>
    </w:p>
    <w:p>
      <w:pPr>
        <w:spacing w:after="80" w:before="100"/>
      </w:pPr>
      <w:r>
        <w:rPr>
          <w:b/>
          <w:bCs/>
          <w:color w:val="00703C"/>
        </w:rPr>
        <w:t xml:space="preserve">Q15: </w:t>
      </w:r>
      <w:r>
        <w:t xml:space="preserve">B — Allow founders to retain control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Class B shares concentrate voting with key people while still allowing public capital raises. Facebook B = 15.5% of shares but 64.7% of votes.</w:t>
      </w:r>
    </w:p>
    <w:p>
      <w:pPr>
        <w:spacing w:after="80" w:before="100"/>
      </w:pPr>
      <w:r>
        <w:rPr>
          <w:b/>
          <w:bCs/>
          <w:color w:val="00703C"/>
        </w:rPr>
        <w:t xml:space="preserve">Q16: </w:t>
      </w:r>
      <w:r>
        <w:t xml:space="preserve">B — Rise of intangible-intensive firms holding cash reserves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Apple's cash + securities = 43% of assets; net debt is −13.5%. Intangible-heavy firms can't borrow against their main assets, so they self-insure with cash. The aggregate US corporate sector flipped from net borrower to net lender.</w:t>
      </w:r>
    </w:p>
    <w:p>
      <w:pPr>
        <w:spacing w:after="80" w:before="100"/>
      </w:pPr>
      <w:r>
        <w:rPr>
          <w:b/>
          <w:bCs/>
          <w:color w:val="00703C"/>
        </w:rPr>
        <w:t xml:space="preserve">Q17: </w:t>
      </w:r>
      <w:r>
        <w:t xml:space="preserve">A — Unchanged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Cash deal at fair value: balance sheet swaps cash for an equivalent business; acquirer's equity value (market cap) is unchanged. Only net debt rises by the cash spent.</w:t>
      </w:r>
    </w:p>
    <w:p>
      <w:pPr>
        <w:spacing w:after="80" w:before="100"/>
      </w:pPr>
      <w:r>
        <w:rPr>
          <w:b/>
          <w:bCs/>
          <w:color w:val="00703C"/>
        </w:rPr>
        <w:t xml:space="preserve">Q18: </w:t>
      </w:r>
      <w:r>
        <w:t xml:space="preserve">B — P/E_acquirer &gt; P/E_target (premium-adjusted)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Post-merger P/E is a weighted average. If acquirer has higher P/E and pays in shares, the deal is accretive. Smith &amp; Wesson: Smith 20× &gt; Wesson 12.5× → share deal accretive.</w:t>
      </w:r>
    </w:p>
    <w:p>
      <w:pPr>
        <w:spacing w:after="80" w:before="100"/>
      </w:pPr>
      <w:r>
        <w:rPr>
          <w:b/>
          <w:bCs/>
          <w:color w:val="00703C"/>
        </w:rPr>
        <w:t xml:space="preserve">Q19: </w:t>
      </w:r>
      <w:r>
        <w:t xml:space="preserve">C — PV of synergies ≥ premium paid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If synergies don't cover the premium, the acquirer destroys value and the share price drops immediately. Average European premium ~30%.</w:t>
      </w:r>
    </w:p>
    <w:p>
      <w:pPr>
        <w:spacing w:after="80" w:before="100"/>
      </w:pPr>
      <w:r>
        <w:rPr>
          <w:b/>
          <w:bCs/>
          <w:color w:val="00703C"/>
        </w:rPr>
        <w:t xml:space="preserve">Q20: </w:t>
      </w:r>
      <w:r>
        <w:t xml:space="preserve">B — Locked box fixes at signing; completion accounts adjust at closing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Locked box = price frozen on signing using prior audited accounts (fast, popular in Europe). Completion accounts = price adjusted at/post-closing based on updated accounts (US default).</w:t>
      </w:r>
    </w:p>
    <w:p>
      <w:pPr>
        <w:spacing w:after="80" w:before="100"/>
      </w:pPr>
      <w:r>
        <w:rPr>
          <w:b/>
          <w:bCs/>
          <w:color w:val="00703C"/>
        </w:rPr>
        <w:t xml:space="preserve">Q21: </w:t>
      </w:r>
      <w:r>
        <w:t xml:space="preserve">B — Net debt, minorities, pensions, off-BS commitments, WC adjustment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All bridge items: gross debt − cash, minority interests (since EV is total), off-BS commitments (pledges, puts, guarantees), pensions (actuarial PV), WC normalization, provisions.</w:t>
      </w:r>
    </w:p>
    <w:p>
      <w:pPr>
        <w:spacing w:after="80" w:before="100"/>
      </w:pPr>
      <w:r>
        <w:rPr>
          <w:b/>
          <w:bCs/>
          <w:color w:val="00703C"/>
        </w:rPr>
        <w:t xml:space="preserve">Q22: </w:t>
      </w:r>
      <w:r>
        <w:t xml:space="preserve">C — 30%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France: above 30% → mandatory bid for remaining shares. Many countries have similar thresholds. The US is an exception — no mandatory bid rule.</w:t>
      </w:r>
    </w:p>
    <w:p>
      <w:pPr>
        <w:spacing w:after="80" w:before="100"/>
      </w:pPr>
      <w:r>
        <w:rPr>
          <w:b/>
          <w:bCs/>
          <w:color w:val="00703C"/>
        </w:rPr>
        <w:t xml:space="preserve">Q23: </w:t>
      </w:r>
      <w:r>
        <w:t xml:space="preserve">D — All of the above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Defense toolkit: poison pills (dilute hostile bidder), white knight (alternative friendly buyer), pacman (target counter-bids for acquirer), also dividends/buybacks, capital increase, communication, government protection, legal action. Hidden goal: buy time.</w:t>
      </w:r>
    </w:p>
    <w:p>
      <w:pPr>
        <w:spacing w:after="80" w:before="100"/>
      </w:pPr>
      <w:r>
        <w:rPr>
          <w:b/>
          <w:bCs/>
          <w:color w:val="00703C"/>
        </w:rPr>
        <w:t xml:space="preserve">Q24: </w:t>
      </w:r>
      <w:r>
        <w:t xml:space="preserve">B — Bridge loan refinanced via bond issuances and rights issue</w:t>
      </w:r>
    </w:p>
    <w:p>
      <w:pPr>
        <w:spacing w:after="200"/>
        <w:ind w:left="360"/>
      </w:pPr>
      <w:r>
        <w:rPr>
          <w:b/>
          <w:bCs/>
        </w:rPr>
        <w:t xml:space="preserve">Explanation: </w:t>
      </w:r>
      <w:r>
        <w:rPr>
          <w:i w:val="false"/>
          <w:iCs w:val="false"/>
        </w:rPr>
        <w:t xml:space="preserve">Nov 2015 signing → Dec 2015 $12bn bridge loan → Jun 2016 €3bn Eurobond → Sep 2016 $4.5bn Yankee bond → Oct 2016 €3.3bn rights issue. Classic 10-month bridge-to-takeout sequence.</w:t>
      </w:r>
    </w:p>
    <w:p>
      <w:pPr>
        <w:pStyle w:val="Heading2"/>
      </w:pPr>
      <w:r>
        <w:t xml:space="preserve">Short-Answer Solutions</w:t>
      </w:r>
    </w:p>
    <w:p>
      <w:pPr>
        <w:spacing w:after="80" w:before="100"/>
      </w:pPr>
      <w:r>
        <w:rPr>
          <w:b/>
          <w:bCs/>
          <w:color w:val="00703C"/>
        </w:rPr>
        <w:t xml:space="preserve">S1: </w:t>
      </w:r>
      <w:r>
        <w:t xml:space="preserve">Two-fund separation theorem</w:t>
      </w:r>
    </w:p>
    <w:p>
      <w:pPr>
        <w:spacing w:after="100"/>
      </w:pPr>
      <w:r>
        <w:t xml:space="preserve">Two-fund separation: When a risk-free asset is available, every mean-variance investor — regardless of their risk aversion coefficient A — holds the same risky portfolio (the Tangency Portfolio T, which maximises the Sharpe ratio), with only the proportion between T and the risk-free asset varying. The optimal weight in T is w* = (E_T − r_f) / (A · σ²_T), which is strictly positive whenever E_T &gt; r_f. So even the most risk-averse investor (very large A) places some positive weight in T, just a small one. The intuition is that T's risk-adjusted excess return is too valuable to ignore entirely — only the leverage choice between T and the risk-free anchor depends on risk preferences.</w:t>
      </w:r>
    </w:p>
    <w:p>
      <w:pPr>
        <w:spacing w:after="80" w:before="100"/>
      </w:pPr>
      <w:r>
        <w:rPr>
          <w:b/>
          <w:bCs/>
          <w:color w:val="00703C"/>
        </w:rPr>
        <w:t xml:space="preserve">S2: </w:t>
      </w:r>
      <w:r>
        <w:t xml:space="preserve">Optimal allocation with quadratic utility</w:t>
      </w:r>
    </w:p>
    <w:p>
      <w:pPr>
        <w:spacing w:after="100"/>
      </w:pPr>
      <w:r>
        <w:t xml:space="preserve">Apply the formula:</w:t>
      </w:r>
    </w:p>
    <w:p>
      <w:pPr>
        <w:spacing w:after="100" w:before="100"/>
        <w:jc w:val="center"/>
      </w:pPr>
      <w:r>
        <w:rPr>
          <w:b/>
          <w:bCs/>
          <w:i/>
          <w:iCs/>
          <w:color w:val="1F4E79"/>
          <w:sz w:val="22"/>
          <w:szCs w:val="22"/>
        </w:rPr>
        <w:t xml:space="preserve">w* = (E_T − r_f) / (A · σ²_T) = (0.0795 − 0.03) / (5 · 0.0847²) = 0.0495 / 0.0358695 ≈ 1.380</w:t>
      </w:r>
    </w:p>
    <w:p>
      <w:pPr>
        <w:spacing w:after="100"/>
      </w:pPr>
      <w:r>
        <w:t xml:space="preserve">Interpretation: w* &gt; 1 means the investor borrows at r_f to lever up into the Tangency. Allocation: 138.0% in T plus −38.0% in T-bills (negative = borrowing). Within the 138% in T: Stocks = 1.38 × 27.82% = 38.39%, Bonds = 1.38 × 37.99% = 52.43%, Real Estate = 1.38 × 34.20% = 47.20%. Sum check: 38.39 + 52.43 + 47.20 − 38.00 = 100.02% ≈ 100% ✓. Resulting portfolio E = 0.038 × −3% + (sum of risky × expected returns) ≈ 9.83% and σ = 1.38 × 8.47% ≈ 11.70%.</w:t>
      </w:r>
    </w:p>
    <w:p>
      <w:pPr>
        <w:spacing w:after="80" w:before="100"/>
      </w:pPr>
      <w:r>
        <w:rPr>
          <w:b/>
          <w:bCs/>
          <w:color w:val="00703C"/>
        </w:rPr>
        <w:t xml:space="preserve">S3: </w:t>
      </w:r>
      <w:r>
        <w:t xml:space="preserve">Limits to arbitrage (any two of the following)</w:t>
      </w:r>
    </w:p>
    <w:p>
      <w:pPr>
        <w:spacing w:after="100"/>
      </w:pPr>
      <w:r>
        <w:t xml:space="preserve">(1) Gap widening + margin calls — Twin Coin: when RedCoin spiked to $1.80 then $3.00, Bill faced cumulative $156K margin calls; capital ran out. (2) Predatory trading / short squeeze — VW (2008): Porsche's covert 75% stake squeezed hedge fund shorts. (3) Coordinated retail action — GameStop (2021): Reddit + short interest &gt; 140% drove a 1700% rally, costing Melvin Capital $7bn (53% of value). (4) Multiple equilibria / forced redemptions: arbitrageur facing lockup expiry must liquidate at the worst time. (5) Open-ended mispricing without a forced convergence date (Royal Dutch / Shell) makes the strategy riskier than a finite-horizon arbitrage.</w:t>
      </w:r>
    </w:p>
    <w:p>
      <w:pPr>
        <w:spacing w:after="80" w:before="100"/>
      </w:pPr>
      <w:r>
        <w:rPr>
          <w:b/>
          <w:bCs/>
          <w:color w:val="00703C"/>
        </w:rPr>
        <w:t xml:space="preserve">S4: </w:t>
      </w:r>
      <w:r>
        <w:t xml:space="preserve">Capitalization formula</w:t>
      </w:r>
    </w:p>
    <w:p>
      <w:pPr>
        <w:spacing w:after="100"/>
      </w:pPr>
      <w:r>
        <w:t xml:space="preserve">With amortizable life n=4, at end of year t the contribution of year-t expense = (n+0)/n = 4/4 = 100% of €200M = €200M. At end of year t+2, the contribution of year-t expense = (n−2)/n = 2/4 = 50% of €200M = €100M. (More generally, at end of year t+k the contribution is (n−k)/n × Int.Expense_t, for 0 ≤ k ≤ n−1.)</w:t>
      </w:r>
    </w:p>
    <w:p>
      <w:pPr>
        <w:spacing w:after="80" w:before="100"/>
      </w:pPr>
      <w:r>
        <w:rPr>
          <w:b/>
          <w:bCs/>
          <w:color w:val="00703C"/>
        </w:rPr>
        <w:t xml:space="preserve">S5: </w:t>
      </w:r>
      <w:r>
        <w:t xml:space="preserve">Capital structure for intangible-heavy firms</w:t>
      </w:r>
    </w:p>
    <w:p>
      <w:pPr>
        <w:spacing w:after="100"/>
      </w:pPr>
      <w:r>
        <w:t xml:space="preserve">Applying Vuillemey's checklist to a tech firm: WEAK tax shield (cyclical losses, TLCF); STRONG distress risk (cyclical + tech + competition); STRONG investment needs (R&amp;D, CAPX inflexible); STRONG (negative) asset pledgeability (intangibles can't be pledged); STRONG competition (rival risk in distress); STRONG customer/supplier reliance on solvency; STRONG employee retention pressure (human-capital intensive). All factors push toward LOW or NEGATIVE leverage and high cash buffers. Apple FY24 confirms: cash + securities = 43% of assets, net debt = −13.5%. The aggregate US corporate sector mirror-images this shift — net lender, not borrower.</w:t>
      </w:r>
    </w:p>
    <w:p>
      <w:pPr>
        <w:spacing w:after="80" w:before="100"/>
      </w:pPr>
      <w:r>
        <w:rPr>
          <w:b/>
          <w:bCs/>
          <w:color w:val="00703C"/>
        </w:rPr>
        <w:t xml:space="preserve">S6: </w:t>
      </w:r>
      <w:r>
        <w:t xml:space="preserve">Two CVR types</w:t>
      </w:r>
    </w:p>
    <w:p>
      <w:pPr>
        <w:spacing w:after="100"/>
      </w:pPr>
      <w:r>
        <w:t xml:space="preserve">Price-protection CVR — pays if the acquirer's stock falls below a threshold within a defined maturity (often ~3 years), capped at a maximum payment. The payoff resembles a collar (long put + short call). Used when consideration is paid in acquirer stock and target shareholders want protection. Event-driven CVR — pays on a specific event such as FDA approval, hitting sales targets, or proceeds from litigation. Example: Sanofi/Genzyme Lemtrada CVR paid $1 if FDA cleared Lemtrada by March 2014. (Target missed; litigation followed.) BMS-Celgene's $74bn deal used a CVR. Event-driven CVRs are growing in pharma.</w:t>
      </w:r>
    </w:p>
    <w:p>
      <w:pPr>
        <w:spacing w:after="80" w:before="100"/>
      </w:pPr>
      <w:r>
        <w:rPr>
          <w:b/>
          <w:bCs/>
          <w:color w:val="00703C"/>
        </w:rPr>
        <w:t xml:space="preserve">S7: </w:t>
      </w:r>
      <w:r>
        <w:t xml:space="preserve">Smith &amp; Wesson — cash deal calculations</w:t>
      </w:r>
    </w:p>
    <w:p>
      <w:pPr>
        <w:spacing w:after="100"/>
      </w:pPr>
      <w:r>
        <w:t xml:space="preserve">(a) Post-deal Smith market cap: $1,000M (UNCHANGED — Smith pays $500M cash for Wesson; the cash leaves the balance sheet, the business comes in; market cap of equity unchanged at fair value).</w:t>
      </w:r>
    </w:p>
    <w:p>
      <w:pPr>
        <w:spacing w:after="100"/>
      </w:pPr>
      <w:r>
        <w:t xml:space="preserve">(b) Mrs Smith's ownership: 25% (UNCHANGED — Mrs Smith still owns her 25M shares of Smith's 100M outstanding).</w:t>
      </w:r>
    </w:p>
    <w:p>
      <w:pPr>
        <w:spacing w:after="100"/>
      </w:pPr>
      <w:r>
        <w:t xml:space="preserve">(c) Net Debt / EBITDA: Combined ND = −10 + 80 + 500 (cash spent on the acquisition) = $570M. Combined EBITDA = 90 + 70 = $160M. Ratio = 570 / 160 = 3.56× — a high leverage burden that the merger alternative would avoid (merger ratio = 70/160 = 0.44×).</w:t>
      </w:r>
    </w:p>
    <w:p>
      <w:pPr>
        <w:spacing w:after="80" w:before="100"/>
      </w:pPr>
      <w:r>
        <w:rPr>
          <w:b/>
          <w:bCs/>
          <w:color w:val="00703C"/>
        </w:rPr>
        <w:t xml:space="preserve">S8: </w:t>
      </w:r>
      <w:r>
        <w:t xml:space="preserve">Cash offer vs share offer in public M&amp;A</w:t>
      </w:r>
    </w:p>
    <w:p>
      <w:pPr>
        <w:spacing w:after="100"/>
      </w:pPr>
      <w:r>
        <w:t xml:space="preserve">Financial certainty for target shareholders — CASH (OPA) is more comfortable: target holders exit with cash, no exposure to acquirer's future. SHARE (OPE) means target holders become acquirer shareholders, sharing future risk. Acquirer's dilution — CASH avoids dilution; SHARE issues new shares and dilutes existing acquirer shareholders. Acquirer's leverage — CASH worsens leverage (cash outflow and/or new debt); SHARE preserves leverage (no cash outflow, no new debt). Conclusion: cash = acquisition spirit; share = merger spirit.</w:t>
      </w:r>
    </w:p>
    <w:p>
      <w:pPr>
        <w:spacing w:after="80" w:before="100"/>
      </w:pPr>
      <w:r>
        <w:rPr>
          <w:b/>
          <w:bCs/>
          <w:color w:val="00703C"/>
        </w:rPr>
        <w:t xml:space="preserve">S9: </w:t>
      </w:r>
      <w:r>
        <w:t xml:space="preserve">Defense tactics</w:t>
      </w:r>
    </w:p>
    <w:p>
      <w:pPr>
        <w:spacing w:after="100"/>
      </w:pPr>
      <w:r>
        <w:t xml:space="preserve">Four examples: (1) White knight — invite an alternative friendly bidder. (2) Poison pill — make the target less attractive (e.g., flood market with new shares). (3) Pacman — target counter-bids for the acquirer. (4) Capital increase / opportunistic share issue. Other valid answers: communication campaigns, dividends/buybacks, government protection (sensitive sectors), legal action. Common underlying objective: BUY TIME — either to find better alternatives, raise the offer price, or wear down the hostile bidder. Best long-run defense, however, is to remain a well-managed company so a hostile premium is harder to justify.</w:t>
      </w:r>
    </w:p>
    <w:p>
      <w:r>
        <w:t xml:space="preserve"/>
      </w:r>
    </w:p>
    <w:p>
      <w:pPr>
        <w:jc w:val="center"/>
      </w:pPr>
      <w:r>
        <w:rPr>
          <w:i/>
          <w:iCs/>
          <w:color w:val="777777"/>
        </w:rPr>
        <w:t xml:space="preserve">End of mock exam.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</w:rPr>
      <w:t xml:space="preserve">EMBA Week 2 — Mock Exam &amp; Practice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Calibri" w:cs="Calibri" w:eastAsia="Calibri" w:hAnsi="Calibri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Calibri" w:cs="Calibri" w:eastAsia="Calibri" w:hAnsi="Calibri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180"/>
      <w:outlineLvl w:val="2"/>
    </w:pPr>
    <w:rPr>
      <w:rFonts w:ascii="Calibri" w:cs="Calibri" w:eastAsia="Calibri" w:hAnsi="Calibri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 Week 2 — Mock Exam</dc:title>
  <dc:creator>Claude (Cowork)</dc:creator>
  <cp:lastModifiedBy>Un-named</cp:lastModifiedBy>
  <cp:revision>1</cp:revision>
  <dcterms:created xsi:type="dcterms:W3CDTF">2026-05-12T06:56:18.641Z</dcterms:created>
  <dcterms:modified xsi:type="dcterms:W3CDTF">2026-05-12T06:56:18.641Z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