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color w:val="1F4E79"/>
          <w:sz w:val="32"/>
          <w:szCs w:val="32"/>
        </w:rPr>
        <w:t xml:space="preserve">EMBA Week 2 — Exam Cheat Sheet</w:t>
      </w:r>
    </w:p>
    <w:p>
      <w:pPr>
        <w:spacing w:after="240"/>
        <w:jc w:val="center"/>
      </w:pPr>
      <w:r>
        <w:rPr>
          <w:i/>
          <w:iCs/>
          <w:sz w:val="20"/>
          <w:szCs w:val="20"/>
        </w:rPr>
        <w:t xml:space="preserve">Asset Management  •  Intangibles  •  M&amp;A</w:t>
      </w:r>
    </w:p>
    <w:p>
      <w:pPr>
        <w:spacing w:after="60" w:before="100"/>
        <w:jc w:val="center"/>
      </w:pPr>
      <w:r>
        <w:rPr>
          <w:b/>
          <w:bCs/>
          <w:color w:val="1B5E20"/>
          <w:sz w:val="22"/>
          <w:szCs w:val="22"/>
        </w:rPr>
        <w:t xml:space="preserve">EXAM SCOPE — Prof. Rosu (5 May 2026)</w:t>
      </w:r>
    </w:p>
    <w:p>
      <w:pPr>
        <w:spacing w:after="200"/>
        <w:jc w:val="center"/>
      </w:pPr>
      <w:r>
        <w:rPr>
          <w:b/>
          <w:bCs/>
          <w:color w:val="1B5E20"/>
          <w:sz w:val="18"/>
          <w:szCs w:val="18"/>
        </w:rPr>
        <w:t xml:space="preserve">AM Topic 4 (Options) NOT on exam   •   AM Topic 1 (Asset Allocation) is the main focus   •   Topics 2 &amp; 3 in scope (smaller share)   •   Intangibles + M&amp;A fully in scope</w:t>
      </w:r>
    </w:p>
    <w:p>
      <w:pPr>
        <w:spacing w:after="80" w:before="100"/>
        <w:jc w:val="center"/>
      </w:pPr>
      <w:r>
        <w:rPr>
          <w:b/>
          <w:bCs/>
          <w:color w:val="1F4E79"/>
          <w:sz w:val="20"/>
          <w:szCs w:val="20"/>
        </w:rPr>
        <w:t xml:space="preserve">SYMBOL LEGEND — what the math symbols mean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4"/>
        <w:gridCol w:w="7956"/>
      </w:tblGrid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Symbol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Plain-language meaning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 or E_X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Expected return — the long-run average return on asset X (NOT a prediction for next year)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σ (sigma)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Standard deviation — how much returns wobble around their average. Bigger = more uncertainty.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σ²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Variance — sigma squared. Same risk measure, easier algebra.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ρ (rho)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Correlation — between −1 and +1. How much two assets move together. Lower = better diversification.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r_f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Risk-free rate — the T-bill yield. The minimum return you should accept.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w_A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Weight — the fraction of portfolio invested in asset A (e.g., 0.40 = 40%).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Tangency Portfolio — the unique optimal risky mix. Everyone holds this same mix; risk aversion just controls how much.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w*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Optimal weight — the share to invest in the tangency portfolio.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μ (mu)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Expected return (vector form, used in matrix formulas).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Ω (Omega)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Covariance matrix — combines all variances and correlations into one object.</w:t>
            </w:r>
          </w:p>
        </w:tc>
      </w:tr>
      <w:tr>
        <w:tc>
          <w:tcPr>
            <w:tcW w:type="dxa" w:w="140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Σ (Sigma cap)</w:t>
            </w:r>
          </w:p>
        </w:tc>
        <w:tc>
          <w:tcPr>
            <w:tcW w:type="dxa" w:w="795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Sum — adds up the items below and above the bounds.</w:t>
            </w:r>
          </w:p>
        </w:tc>
      </w:tr>
    </w:tbl>
    <w:p>
      <w:pPr>
        <w:spacing w:after="200" w:before="80"/>
        <w:jc w:val="center"/>
      </w:pPr>
      <w:r>
        <w:rPr>
          <w:i/>
          <w:iCs/>
          <w:color w:val="555555"/>
          <w:sz w:val="16"/>
          <w:szCs w:val="16"/>
        </w:rPr>
        <w:t xml:space="preserve">Subscripts (E_T, σ_X) label which asset is being referenced. Superscripts (σ², w²) mean squared. A fraction bar means division.</w:t>
      </w:r>
    </w:p>
    <w:p>
      <w:pPr>
        <w:shd w:fill="1F4E79" w:val="clear"/>
        <w:spacing w:after="120"/>
        <w:jc w:val="center"/>
      </w:pPr>
      <w:r>
        <w:rPr>
          <w:b/>
          <w:bCs/>
          <w:color w:val="FFFFFF"/>
          <w:sz w:val="22"/>
          <w:szCs w:val="22"/>
        </w:rPr>
        <w:t xml:space="preserve">MODULE 1 — ASSET MANAGEMENT</w:t>
      </w:r>
    </w:p>
    <w:p>
      <w:pPr>
        <w:spacing w:after="60"/>
      </w:pPr>
      <w:r>
        <w:rPr>
          <w:b/>
          <w:bCs/>
          <w:color w:val="1F4E79"/>
          <w:sz w:val="20"/>
          <w:szCs w:val="20"/>
        </w:rPr>
        <w:t xml:space="preserve">MPT formulas</w:t>
      </w:r>
    </w:p>
    <w:p>
      <w:pPr>
        <w:spacing w:after="140" w:before="140"/>
        <w:jc w:val="center"/>
      </w:pP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 = </m:t>
        </m:r>
        <m:sSub>
          <m:sSubPr/>
          <m:e>
            <m:r>
              <m:t>w</m:t>
            </m:r>
          </m:e>
          <m:sub>
            <m:r>
              <m:t>A</m:t>
            </m:r>
          </m:sub>
        </m:sSub>
        <m:r>
          <m:t> </m:t>
        </m:r>
        <m:sSub>
          <m:sSubPr/>
          <m:e>
            <m:r>
              <m:t>E</m:t>
            </m:r>
          </m:e>
          <m:sub>
            <m:r>
              <m:t>A</m:t>
            </m:r>
          </m:sub>
        </m:sSub>
        <m:r>
          <m:t> + </m:t>
        </m:r>
        <m:sSub>
          <m:sSubPr/>
          <m:e>
            <m:r>
              <m:t>w</m:t>
            </m:r>
          </m:e>
          <m:sub>
            <m:r>
              <m:t>B</m:t>
            </m:r>
          </m:sub>
        </m:sSub>
        <m:r>
          <m:t> </m:t>
        </m:r>
        <m:sSub>
          <m:sSubPr/>
          <m:e>
            <m:r>
              <m:t>E</m:t>
            </m:r>
          </m:e>
          <m:sub>
            <m:r>
              <m:t>B</m:t>
            </m:r>
          </m:sub>
        </m:sSub>
      </m:oMath>
    </w:p>
    <w:p>
      <w:pPr>
        <w:spacing w:after="140" w:before="140"/>
        <w:jc w:val="center"/>
      </w:pPr>
      <m:oMath>
        <m:sSubSup>
          <m:sSubSupPr/>
          <m:e>
            <m:r>
              <m:t>σ</m:t>
            </m:r>
          </m:e>
          <m:sub>
            <m:r>
              <m:t>P</m:t>
            </m:r>
          </m:sub>
          <m:sup>
            <m:r>
              <m:t>2</m:t>
            </m:r>
          </m:sup>
        </m:sSubSup>
        <m:r>
          <m:t> = </m:t>
        </m:r>
        <m:sSubSup>
          <m:sSubSupPr/>
          <m:e>
            <m:r>
              <m:t>w</m:t>
            </m:r>
          </m:e>
          <m:sub>
            <m:r>
              <m:t>A</m:t>
            </m:r>
          </m:sub>
          <m:sup>
            <m:r>
              <m:t>2</m:t>
            </m:r>
          </m:sup>
        </m:sSubSup>
        <m:r>
          <m:t> </m:t>
        </m:r>
        <m:sSubSup>
          <m:sSubSupPr/>
          <m:e>
            <m:r>
              <m:t>σ</m:t>
            </m:r>
          </m:e>
          <m:sub>
            <m:r>
              <m:t>A</m:t>
            </m:r>
          </m:sub>
          <m:sup>
            <m:r>
              <m:t>2</m:t>
            </m:r>
          </m:sup>
        </m:sSubSup>
        <m:r>
          <m:t> + </m:t>
        </m:r>
        <m:sSubSup>
          <m:sSubSupPr/>
          <m:e>
            <m:r>
              <m:t>w</m:t>
            </m:r>
          </m:e>
          <m:sub>
            <m:r>
              <m:t>B</m:t>
            </m:r>
          </m:sub>
          <m:sup>
            <m:r>
              <m:t>2</m:t>
            </m:r>
          </m:sup>
        </m:sSubSup>
        <m:r>
          <m:t> </m:t>
        </m:r>
        <m:sSubSup>
          <m:sSubSupPr/>
          <m:e>
            <m:r>
              <m:t>σ</m:t>
            </m:r>
          </m:e>
          <m:sub>
            <m:r>
              <m:t>B</m:t>
            </m:r>
          </m:sub>
          <m:sup>
            <m:r>
              <m:t>2</m:t>
            </m:r>
          </m:sup>
        </m:sSubSup>
        <m:r>
          <m:t> + 2 </m:t>
        </m:r>
        <m:sSub>
          <m:sSubPr/>
          <m:e>
            <m:r>
              <m:t>w</m:t>
            </m:r>
          </m:e>
          <m:sub>
            <m:r>
              <m:t>A</m:t>
            </m:r>
          </m:sub>
        </m:sSub>
        <m:r>
          <m:t> </m:t>
        </m:r>
        <m:sSub>
          <m:sSubPr/>
          <m:e>
            <m:r>
              <m:t>w</m:t>
            </m:r>
          </m:e>
          <m:sub>
            <m:r>
              <m:t>B</m:t>
            </m:r>
          </m:sub>
        </m:sSub>
        <m:r>
          <m:t> </m:t>
        </m:r>
        <m:sSub>
          <m:sSubPr/>
          <m:e>
            <m:r>
              <m:t>σ</m:t>
            </m:r>
          </m:e>
          <m:sub>
            <m:r>
              <m:t>A</m:t>
            </m:r>
          </m:sub>
        </m:sSub>
        <m:r>
          <m:t> </m:t>
        </m:r>
        <m:sSub>
          <m:sSubPr/>
          <m:e>
            <m:r>
              <m:t>σ</m:t>
            </m:r>
          </m:e>
          <m:sub>
            <m:r>
              <m:t>B</m:t>
            </m:r>
          </m:sub>
        </m:sSub>
        <m:r>
          <m:t> </m:t>
        </m:r>
        <m:sSub>
          <m:sSubPr/>
          <m:e>
            <m:r>
              <m:t>ρ</m:t>
            </m:r>
          </m:e>
          <m:sub>
            <m:r>
              <m:t>AB</m:t>
            </m:r>
          </m:sub>
        </m:sSub>
      </m:oMath>
    </w:p>
    <w:p>
      <w:pPr>
        <w:spacing w:after="140" w:before="140"/>
        <w:jc w:val="center"/>
      </w:pPr>
      <m:oMath>
        <m:r>
          <m:t>Sharpe</m:t>
        </m:r>
        <m:r>
          <m:t> = </m:t>
        </m:r>
        <m:f>
          <m:num>
            <m:sSub>
              <m:sSubPr/>
              <m:e>
                <m:r>
                  <m:t>E</m:t>
                </m:r>
              </m:e>
              <m:sub>
                <m:r>
                  <m:t>X</m:t>
                </m:r>
              </m:sub>
            </m:sSub>
            <m:r>
              <m:t> - </m:t>
            </m:r>
            <m:sSub>
              <m:sSubPr/>
              <m:e>
                <m:r>
                  <m:t>r</m:t>
                </m:r>
              </m:e>
              <m:sub>
                <m:r>
                  <m:t>f</m:t>
                </m:r>
              </m:sub>
            </m:sSub>
          </m:num>
          <m:den>
            <m:sSub>
              <m:sSubPr/>
              <m:e>
                <m:r>
                  <m:t>σ</m:t>
                </m:r>
              </m:e>
              <m:sub>
                <m:r>
                  <m:t>X</m:t>
                </m:r>
              </m:sub>
            </m:sSub>
          </m:den>
        </m:f>
      </m:oMath>
    </w:p>
    <w:p>
      <w:pPr>
        <w:spacing w:after="140" w:before="140"/>
        <w:jc w:val="center"/>
      </w:pPr>
      <m:oMath>
        <m:sSup>
          <m:sSupPr/>
          <m:e>
            <m:r>
              <m:t>w</m:t>
            </m:r>
          </m:e>
          <m:sup>
            <m:r>
              <m:t>*</m:t>
            </m:r>
          </m:sup>
        </m:sSup>
        <m:r>
          <m:t> = </m:t>
        </m:r>
        <m:f>
          <m:num>
            <m:sSub>
              <m:sSubPr/>
              <m:e>
                <m:r>
                  <m:t>E</m:t>
                </m:r>
              </m:e>
              <m:sub>
                <m:r>
                  <m:t>T</m:t>
                </m:r>
              </m:sub>
            </m:sSub>
            <m:r>
              <m:t> - </m:t>
            </m:r>
            <m:sSub>
              <m:sSubPr/>
              <m:e>
                <m:r>
                  <m:t>r</m:t>
                </m:r>
              </m:e>
              <m:sub>
                <m:r>
                  <m:t>f</m:t>
                </m:r>
              </m:sub>
            </m:sSub>
          </m:num>
          <m:den>
            <m:r>
              <m:t>A </m:t>
            </m:r>
            <m:sSubSup>
              <m:sSubSupPr/>
              <m:e>
                <m:r>
                  <m:t>σ</m:t>
                </m:r>
              </m:e>
              <m:sub>
                <m:r>
                  <m:t>T</m:t>
                </m:r>
              </m:sub>
              <m:sup>
                <m:r>
                  <m:t>2</m:t>
                </m:r>
              </m:sup>
            </m:sSubSup>
          </m:den>
        </m:f>
      </m:oMath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Key MPT intuitions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Risk is NOT a weighted average (unless ρ=1) — that's why diversification works.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Adding non-redundant assets shifts efficient frontier LEFT (always better).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Lower ρ → tangency tilts toward the better hedge (lower-return asset gains weight).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Two-fund separation: with risk-free, everyone holds same tangency T + cash, just different proportions.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Black-Litterman: prior = market portfolio (no views). Views → tilt proportional to confidence.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Smart investors should still diversify.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Market efficiency &amp; arbitrage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EMH: prices = PV of expected future cash flows; 3 forms (weak, semi-strong, strong).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Random Walk: short-run price changes unpredictable.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PEAD (Ball &amp; Brown 1968): post-earnings drift → underreaction. Magnitude declining.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Factors — Value (3-5%/yr), Momentum (8-12%/yr, crash risk). Factor zoo: most don't survive.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Short selling: borrow + sell + buy back. Unlimited loss risk.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Margin (total requirement):</w:t>
      </w:r>
    </w:p>
    <w:p>
      <w:pPr>
        <w:spacing w:after="140" w:before="140"/>
        <w:jc w:val="center"/>
      </w:pPr>
      <m:oMath>
        <m:r>
          <m:t>Total margin</m:t>
        </m:r>
        <m:r>
          <m:t> = </m:t>
        </m:r>
        <m:r>
          <m:t>Short value</m:t>
        </m:r>
        <m:r>
          <m:t> × (1 + m)</m:t>
        </m:r>
      </m:oMath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Margin call when margin &lt; required.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Limits to arbitrage: gap widening, illiquidity, predatory trading, redemptions, multiple equilibria.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Squeezes: VW 2008 (Porsche 75%), GameStop 2021 (Reddit + 140% short interest).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Investor performance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Individual investors: underperform, overtrade (75% turnover), home-biased, avg 4 stocks.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Loss aversion: 2× pain per gain. Disposition effect: sell winners, hold losers.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Pension funds: no persistence. Mutual funds: apparent persistence = momentum (Carhart 97).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After fees, active &lt; passive on average. Aggregate active alpha = 0 before fees, &lt; 0 after.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Hedge funds: "2 and 20" fees, illiquid lockups, option-like returns; survivorship + self-report overstate returns 2-5%/yr.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Many HF strategies = writing puts ("pennies in front of a steamroller").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Frazzini-Pedersen: low-beta has high alpha (constrained investors overpay for high-beta).</w:t>
      </w:r>
    </w:p>
    <w:p>
      <w:pPr>
        <w:spacing w:after="80" w:before="200"/>
        <w:jc w:val="center"/>
      </w:pPr>
      <w:r>
        <w:rPr>
          <w:b/>
          <w:bCs/>
          <w:i/>
          <w:iCs/>
          <w:color w:val="C00000"/>
          <w:sz w:val="18"/>
          <w:szCs w:val="18"/>
        </w:rPr>
        <w:t xml:space="preserve">↓ NOT ON EXAM (Prof. Rosu, 5 May 2026) — Topic 4 sections below are reference only</w:t>
      </w:r>
    </w:p>
    <w:p>
      <w:pPr>
        <w:spacing w:after="60" w:before="60"/>
      </w:pPr>
      <w:r>
        <w:rPr>
          <w:b/>
          <w:bCs/>
          <w:color w:val="1F4E79"/>
          <w:sz w:val="20"/>
          <w:szCs w:val="20"/>
        </w:rPr>
        <w:t xml:space="preserve">Options — payoffs &amp; parity</w:t>
      </w:r>
    </w:p>
    <w:p>
      <w:pPr>
        <w:spacing w:after="140" w:before="140"/>
        <w:jc w:val="center"/>
      </w:pPr>
      <m:oMath>
        <m:sSub>
          <m:sSubPr/>
          <m:e>
            <m:r>
              <m:t>C</m:t>
            </m:r>
          </m:e>
          <m:sub>
            <m:r>
              <m:t>T</m:t>
            </m:r>
          </m:sub>
        </m:sSub>
        <m:r>
          <m:t> = \max(</m:t>
        </m:r>
        <m:sSub>
          <m:sSubPr/>
          <m:e>
            <m:r>
              <m:t>S</m:t>
            </m:r>
          </m:e>
          <m:sub>
            <m:r>
              <m:t>T</m:t>
            </m:r>
          </m:sub>
        </m:sSub>
        <m:r>
          <m:t> - K, 0)     </m:t>
        </m:r>
        <m:sSub>
          <m:sSubPr/>
          <m:e>
            <m:r>
              <m:t>P</m:t>
            </m:r>
          </m:e>
          <m:sub>
            <m:r>
              <m:t>T</m:t>
            </m:r>
          </m:sub>
        </m:sSub>
        <m:r>
          <m:t> = \max(K - </m:t>
        </m:r>
        <m:sSub>
          <m:sSubPr/>
          <m:e>
            <m:r>
              <m:t>S</m:t>
            </m:r>
          </m:e>
          <m:sub>
            <m:r>
              <m:t>T</m:t>
            </m:r>
          </m:sub>
        </m:sSub>
        <m:r>
          <m:t>, 0)</m:t>
        </m:r>
      </m:oMath>
    </w:p>
    <w:p>
      <w:pPr>
        <w:spacing w:after="140" w:before="140"/>
        <w:jc w:val="center"/>
      </w:pPr>
      <m:oMath>
        <m:r>
          <m:t>P + S = C + B(K)</m:t>
        </m:r>
      </m:oMath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ITM: call S&gt;K, put S&lt;K. ATM: S=K. OTM: opposite.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Call price ↑ with S, σ, T, r; ↓ with K. Put price ↑ with K, σ, T; ↓ with S, 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Don't early-exercise American calls (sell instead — captures time value).</w:t>
      </w:r>
    </w:p>
    <w:p>
      <w:pPr>
        <w:spacing w:after="80" w:before="120"/>
      </w:pPr>
      <w:r>
        <w:rPr>
          <w:b/>
          <w:bCs/>
          <w:color w:val="1F4E79"/>
          <w:sz w:val="20"/>
          <w:szCs w:val="20"/>
        </w:rPr>
        <w:t xml:space="preserve">Option strategy → view (MEMORIZE)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Strategy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Use when…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Long call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Stock will go UP a lot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Long put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Stock will go DOWN a lot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Bull spread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Stock will go up MODERATELY (limited loss)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Bear spread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Stock will go down MODERATELY (limited loss)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Long straddle (ATM C + ATM P)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Volatility will RISE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Long strangle (OTM C + OTM P)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Vol rise (cheaper, more aggressive than straddle)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Short straddle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Vol will FALL (unlimited loss — avoid)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Butterfly spread (1 ITM + sell 2 ATM + 1 OTM call)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Vol falls, LIMITED LOSS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Portfolio insurance (stock + put)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Hold stock, cap downside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Synthetic short (long P − short C − bond)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Short when borrow restricted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Collar (stock + OTM put − OTM call)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Cap upside &amp; downside</w:t>
            </w:r>
          </w:p>
        </w:tc>
      </w:tr>
    </w:tbl>
    <w:p>
      <w:pPr>
        <w:pageBreakBefore/>
        <w:shd w:fill="1F4E79" w:val="clear"/>
        <w:spacing w:after="120" w:before="400"/>
        <w:jc w:val="center"/>
      </w:pPr>
      <w:r>
        <w:rPr>
          <w:b/>
          <w:bCs/>
          <w:color w:val="FFFFFF"/>
          <w:sz w:val="22"/>
          <w:szCs w:val="22"/>
        </w:rPr>
        <w:t xml:space="preserve">MODULE 6 — VALUING INTANGIBLES</w:t>
      </w:r>
    </w:p>
    <w:p>
      <w:pPr>
        <w:spacing w:after="60"/>
      </w:pPr>
      <w:r>
        <w:rPr>
          <w:b/>
          <w:bCs/>
          <w:color w:val="1F4E79"/>
          <w:sz w:val="20"/>
          <w:szCs w:val="20"/>
        </w:rPr>
        <w:t xml:space="preserve">Accounting basics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US GAAP: internally-generated intangibles EXPENSED (not capitalized). Acquired ones sometimes capitalized.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IFRS: research → expensed; development → sometimes capitalized.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IAS 38: "identifiable non-monetary asset without physical substance."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Two conflicting principles: matching (capitalize) vs prudence (expense).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Goodwill = purchase price − fair value of identifiable net assets (Amazon/Whole Foods 70% to goodwill).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Assess acquisition by subsequent ROIC, NOT by goodwill level.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Capitalization formula</w:t>
      </w:r>
    </w:p>
    <w:p>
      <w:pPr>
        <w:spacing w:after="140" w:before="140"/>
        <w:jc w:val="center"/>
      </w:pPr>
      <m:oMath>
        <m:r>
          <m:t>Capitalized</m:t>
        </m:r>
        <m:r>
          <m:t> = </m:t>
        </m:r>
        <m:sSubSup>
          <m:sSubSupPr/>
          <m:e>
            <m:r>
              <m:t>Σ</m:t>
            </m:r>
          </m:e>
          <m:sub>
            <m:r>
              <m:t>k=-(n-1)</m:t>
            </m:r>
          </m:sub>
          <m:sup>
            <m:r>
              <m:t>0</m:t>
            </m:r>
          </m:sup>
        </m:sSubSup>
        <m:r>
          <m:t> </m:t>
        </m:r>
        <m:r>
          <m:t>Int.Exp</m:t>
        </m:r>
        <m:sSub>
          <m:sSubPr/>
          <m:e>
            <m:r>
              <m:t/>
            </m:r>
          </m:e>
          <m:sub>
            <m:r>
              <m:t>t+k</m:t>
            </m:r>
          </m:sub>
        </m:sSub>
        <m:r>
          <m:t> · </m:t>
        </m:r>
        <m:f>
          <m:num>
            <m:r>
              <m:t>n+k</m:t>
            </m:r>
          </m:num>
          <m:den>
            <m:r>
              <m:t>n</m:t>
            </m:r>
          </m:den>
        </m:f>
      </m:oMath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Example n=4: 100% of yr t + 3/4 of yr t−1 + 2/4 of yr t−2 + 1/4 of yr t−3.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Adjusted EBITDA = EBITDA + Investment − Amortization of capitalized intangibles.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Adjusted Book Equity = Book Equity + Capitalized intangibles.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Capitalizing usually LOWERS ROIC (IC rises faster than EBIT). Longer life → wider gap.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BioTechCo: ROIC 43.9% → 29.6% after capitalizing R&amp;D (n=4).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Tax impact: NONE (intangibles already tax-deductible).</w:t>
      </w:r>
    </w:p>
    <w:p>
      <w:pPr>
        <w:spacing w:after="80" w:before="120"/>
      </w:pPr>
      <w:r>
        <w:rPr>
          <w:b/>
          <w:bCs/>
          <w:color w:val="1F4E79"/>
          <w:sz w:val="20"/>
          <w:szCs w:val="20"/>
        </w:rPr>
        <w:t xml:space="preserve">Financing: tech firm capital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44"/>
        <w:gridCol w:w="1872"/>
        <w:gridCol w:w="3744"/>
      </w:tblGrid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Verdict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Why</w:t>
            </w:r>
          </w:p>
        </w:tc>
      </w:tr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Interest tax shield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WEAK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Cyclical, often losses (TLCF)</w:t>
            </w:r>
          </w:p>
        </w:tc>
      </w:tr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Discipline (debt agency)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MEDIUM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Useful only in booms</w:t>
            </w:r>
          </w:p>
        </w:tc>
      </w:tr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Distress risk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STRONG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Cyclical + tech + competition</w:t>
            </w:r>
          </w:p>
        </w:tc>
      </w:tr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Investment needs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STRONG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Inflexible R&amp;D / CAPX / M&amp;A</w:t>
            </w:r>
          </w:p>
        </w:tc>
      </w:tr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Asset pledgeability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STRONG (neg)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Intangibles hard to pledge</w:t>
            </w:r>
          </w:p>
        </w:tc>
      </w:tr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Rivals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STRONG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Competition intensifies in distress</w:t>
            </w:r>
          </w:p>
        </w:tc>
      </w:tr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Customers / suppliers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STRONG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Need long-run confidence</w:t>
            </w:r>
          </w:p>
        </w:tc>
      </w:tr>
      <w:tr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Employees</w:t>
            </w:r>
          </w:p>
        </w:tc>
        <w:tc>
          <w:tcPr>
            <w:tcW w:type="dxa" w:w="187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STRONG</w:t>
            </w:r>
          </w:p>
        </w:tc>
        <w:tc>
          <w:tcPr>
            <w:tcW w:type="dxa" w:w="374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Human capital flees on distress</w:t>
            </w:r>
          </w:p>
        </w:tc>
      </w:tr>
    </w:tbl>
    <w:p>
      <w:pPr>
        <w:spacing w:after="30"/>
      </w:pPr>
      <w:r>
        <w:rPr>
          <w:sz w:val="18"/>
          <w:szCs w:val="18"/>
        </w:rPr>
        <w:t xml:space="preserve"/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→ Tech firms aim for LOW / NEGATIVE leverage + high cash. Apple FY24: net debt −13.5% of assets.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US corporate sector: NET LENDER now, not borrower.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NOLV approaches (collateral)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Market-based (comparable transactions).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Cost-based (replacement cost).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Income-based (relief-from-royalty — PV of royalties a buyer would pay).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S&amp;P rules of thumb: inventories 50%, receivables 80%, real estate 60-85%.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Trademark bankruptcy multiples: CompUSA 0.01×, Danskin 0.23×, Fanny Farmer 0.20× of sales.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Deals with intangibles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Dual-class shares — Facebook 10:1, AirBnB 20:1. Facebook B: 15.5% shares, 64.7% votes.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Earn-out — milestone-based payment, private deals. EBITDA less manipulable than NI.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CVR — publicly-traded earn-out. Two types: price-protection (collar) &amp; event-driven (FDA, sales).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BMS-Celgene $74bn (all-or-nothing CVR). Sanofi-Lemtrada (litigation risk).</w:t>
      </w:r>
    </w:p>
    <w:p>
      <w:pPr>
        <w:pageBreakBefore/>
        <w:shd w:fill="1F4E79" w:val="clear"/>
        <w:spacing w:after="120" w:before="400"/>
        <w:jc w:val="center"/>
      </w:pPr>
      <w:r>
        <w:rPr>
          <w:b/>
          <w:bCs/>
          <w:color w:val="FFFFFF"/>
          <w:sz w:val="22"/>
          <w:szCs w:val="22"/>
        </w:rPr>
        <w:t xml:space="preserve">MODULE 7 — MERGERS &amp; ACQUISITIONS</w:t>
      </w:r>
    </w:p>
    <w:p>
      <w:pPr>
        <w:spacing w:after="80"/>
      </w:pPr>
      <w:r>
        <w:rPr>
          <w:b/>
          <w:bCs/>
          <w:color w:val="1F4E79"/>
          <w:sz w:val="20"/>
          <w:szCs w:val="20"/>
        </w:rPr>
        <w:t xml:space="preserve">Cash deal vs share deal (CRITICAL)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Cash (acquisition)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Share (merger)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Consideration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Cash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Shares of acquirer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What matters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Target stand-alone value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Exchange ratio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Seller tax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Taxable (cash-in)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Tax-neutral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Acquirer MC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Unchanged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+MC_T (new shares issued)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Acquirer shareholding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Unchanged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New group joins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Net debt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Increases (+ cash spent)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Sum of two NDs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EPS accretion if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1/PE_T &gt; after-tax cost of debt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PE_acquirer &gt; PE_target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Typical use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Mid-cap, build-ups</w:t>
            </w:r>
          </w:p>
        </w:tc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Jumbo, public M&amp;A</w:t>
            </w:r>
          </w:p>
        </w:tc>
      </w:tr>
    </w:tbl>
    <w:p>
      <w:pPr>
        <w:spacing w:after="30"/>
      </w:pPr>
      <w:r>
        <w:rPr>
          <w:sz w:val="18"/>
          <w:szCs w:val="18"/>
        </w:rPr>
        <w:t xml:space="preserve"/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Synergies — KEY PRINCIPLE</w:t>
      </w:r>
    </w:p>
    <w:p>
      <w:pPr>
        <w:spacing w:after="140" w:before="140"/>
        <w:jc w:val="center"/>
      </w:pPr>
      <m:oMath>
        <m:r>
          <m:t>PV(</m:t>
        </m:r>
        <m:r>
          <m:t>synergies</m:t>
        </m:r>
        <m:r>
          <m:t>) ≥ </m:t>
        </m:r>
        <m:r>
          <m:t>Premium</m:t>
        </m:r>
      </m:oMath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If not → acquirer stock drops immediately.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Average premium in Europe (3-yr) ≈ 30%.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Two types: revenue synergies (cross-sell) + cost synergies (scale).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Sharing synergies = negotiation lever (impact on price / exchange ratio).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Smith &amp; Wesson numbers (memorize)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Smith: MC $1bn (100M sh × $10), ND −$10M, P/E 20×, EBITDA $90M.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Wesson: MC $500M (10M × $50), ND $80M, P/E 12.5×, EBITDA $70M.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CASH deal: Smith MC = $1bn (unchanged), Mrs Smith 25%, ND/EBITDA = 570/160 = 3.56×.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SHARE deal: Combined MC = $1.5bn, Mrs Smith dilutes to 16.7%, ND/EBITDA = 70/160 = 0.44×.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Selling process timetable (auction)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D=0 Kick-off → 1st round → NBO at D+20 → 2nd round → BO at D+90 → Signing ~D+100.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Docs: VDD, Teaser, NDA, Info Memo, NBO, Data room, BO, SPA, Final negotiation, Signing, Closing.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EV → Equity bridge items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Net financial debt (gross − cash; watch trapped cash, leases).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Working capital adjustment (avg or normative).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Minority interests.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Off-balance-sheet commitments (pledges, puts, guarantees).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Pensions, other employee benefits (actuarial PV).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Provisions (tax disputes, restructuring, decommissioning).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Locked box vs Completion accounts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LOCKED BOX: price frozen at signing using prior accounts. Fast. EU default.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COMPLETION ACCOUNTS: price adjusted at/post-closing via updated audited accounts. US default.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Public M&amp;A — offer types &amp; thresholds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OPA (cash) — acquisition spirit; OPE (share) — merger spirit; Mixed = combination.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France threshold for mandatory bid: 30%. US: NO mandatory bid rule.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Disclosure: France 5/10/15/20/25/30/33.3/50/66.6/90/95%. UK: 3% + multiples of 1%.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Friendly: longer prep, smoother PMI. Hostile: shorter prep, higher premium, buyer dominates.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Takeover defenses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White knight, Poison pill, Pacman, Capital increase, Dividends/buybacks, Government protection, Legal action.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HIDDEN OBJECTIVE: BUY TIME.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Best long-run defense: stay well-managed.</w:t>
      </w:r>
    </w:p>
    <w:p>
      <w:pPr>
        <w:spacing w:after="60" w:before="120"/>
      </w:pPr>
      <w:r>
        <w:rPr>
          <w:b/>
          <w:bCs/>
          <w:color w:val="1F4E79"/>
          <w:sz w:val="20"/>
          <w:szCs w:val="20"/>
        </w:rPr>
        <w:t xml:space="preserve">Financing &amp; PMI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Golden rules: separate financing from investment decision; SECURE financing.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Options: capital increase, convertibles, bank loans, bonds, structured (LBO), bridge loans, vendor loans.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Air Liquide/Airgas (2015-16): $12bn bridge → Eurobond €3bn + Yankee $4.5bn + rights issue €3.3bn over 10 months.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sz w:val="18"/>
          <w:szCs w:val="18"/>
        </w:rPr>
        <w:t xml:space="preserve">PMI risks: cost overrun, warranty triggers, hidden risks (Bayer-Monsanto), cultural friction, missed synergies.</w:t>
      </w:r>
    </w:p>
    <w:p>
      <w:pPr>
        <w:pageBreakBefore/>
        <w:shd w:fill="1F4E79" w:val="clear"/>
        <w:spacing w:after="120" w:before="400"/>
        <w:jc w:val="center"/>
      </w:pPr>
      <w:r>
        <w:rPr>
          <w:b/>
          <w:bCs/>
          <w:color w:val="FFFFFF"/>
          <w:sz w:val="22"/>
          <w:szCs w:val="22"/>
        </w:rPr>
        <w:t xml:space="preserve">NUMBERS TO REMEMBER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Fact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Value / Source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Average European M&amp;A premium (3-yr)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~30%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Mandatory bid threshold — France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30%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Disclosure thresholds — UK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3% + multiples of 1%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Value factor return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3-5% / yr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Momentum factor return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8-12% / yr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Hedge fund survivorship overstatement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2-5% / yr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Hedge fund typical fee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"2 and 20"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Renaissance Medallion fee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"5 and 44"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Apple FY24 cash + securities / assets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43%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Apple FY24 net debt / assets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−13.5%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US M&amp;A share of global by EV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~47%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APAC / EMEA M&amp;A share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~27% / ~26%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Amazon / Whole Foods goodwill share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~70% of $13bn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Air Liquide / Airgas deal size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$13.4bn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Apple brand value (2024 Interbrand)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$488.9bn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BMS-Celgene deal size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$74bn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Facebook B-share voting ratio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10:1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AirBnB B-share voting ratio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20:1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Initial margin requirement (short)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50% of short-sale value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Maintenance margin (short)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30% of current short-sale value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GameStop short interest peak (Jan 2021)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&gt;140%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Melvin Capital loss on GME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$7bn (53% of fund value)</w:t>
            </w:r>
          </w:p>
        </w:tc>
      </w:tr>
      <w:tr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Citadel + Point 72 bailout of Melvin</w:t>
            </w:r>
          </w:p>
        </w:tc>
        <w:tc>
          <w:tcPr>
            <w:tcW w:type="dxa" w:w="46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3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$2.75bn</w:t>
            </w:r>
          </w:p>
        </w:tc>
      </w:tr>
    </w:tbl>
    <w:p>
      <w:r>
        <w:t xml:space="preserve"/>
      </w:r>
    </w:p>
    <w:p>
      <w:pPr>
        <w:spacing w:before="400"/>
        <w:jc w:val="center"/>
      </w:pPr>
      <w:r>
        <w:rPr>
          <w:b/>
          <w:bCs/>
          <w:i/>
          <w:iCs/>
          <w:color w:val="1F4E79"/>
          <w:sz w:val="22"/>
          <w:szCs w:val="22"/>
        </w:rPr>
        <w:t xml:space="preserve">Good luck on the exam!</w:t>
      </w:r>
    </w:p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6"/>
        <w:szCs w:val="16"/>
      </w:rPr>
      <w:t xml:space="preserve">EMBA Week 2 Cheat Sheet — Asset Mgmt / Intangibles / M&amp;A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Calibri" w:cs="Calibri" w:eastAsia="Calibri" w:hAnsi="Calibri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Calibri" w:cs="Calibri" w:eastAsia="Calibri" w:hAnsi="Calibri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 Week 2 — Cheat Sheet</dc:title>
  <dc:creator>Claude (Cowork)</dc:creator>
  <cp:lastModifiedBy>Un-named</cp:lastModifiedBy>
  <cp:revision>1</cp:revision>
  <dcterms:created xsi:type="dcterms:W3CDTF">2026-05-12T06:56:18.455Z</dcterms:created>
  <dcterms:modified xsi:type="dcterms:W3CDTF">2026-05-12T06:56:18.456Z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